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7F49" w:rsidRDefault="00BD6B9E">
      <w:pPr>
        <w:jc w:val="center"/>
        <w:rPr>
          <w:b/>
          <w:color w:val="000000"/>
          <w:sz w:val="28"/>
          <w:szCs w:val="32"/>
        </w:rPr>
      </w:pPr>
      <w:r w:rsidRPr="00F63A08">
        <w:rPr>
          <w:b/>
          <w:color w:val="000000"/>
          <w:sz w:val="28"/>
          <w:szCs w:val="32"/>
        </w:rPr>
        <w:t xml:space="preserve">The Title: To capitalize the first letter of </w:t>
      </w:r>
      <w:r>
        <w:rPr>
          <w:rFonts w:eastAsiaTheme="minorEastAsia" w:hint="eastAsia"/>
          <w:b/>
          <w:color w:val="000000"/>
          <w:sz w:val="28"/>
          <w:szCs w:val="32"/>
          <w:lang w:eastAsia="zh-CN"/>
        </w:rPr>
        <w:t>the</w:t>
      </w:r>
      <w:r w:rsidRPr="00F63A08">
        <w:rPr>
          <w:b/>
          <w:color w:val="000000"/>
          <w:sz w:val="28"/>
          <w:szCs w:val="32"/>
        </w:rPr>
        <w:t xml:space="preserve"> sentence and leave all other letters as lowercase, </w:t>
      </w:r>
      <w:r w:rsidRPr="00F63A08">
        <w:rPr>
          <w:rFonts w:eastAsiaTheme="minorEastAsia"/>
          <w:b/>
          <w:color w:val="000000"/>
          <w:sz w:val="28"/>
          <w:szCs w:val="32"/>
          <w:lang w:eastAsia="zh-CN"/>
        </w:rPr>
        <w:t>t</w:t>
      </w:r>
      <w:r w:rsidRPr="00F63A08">
        <w:rPr>
          <w:b/>
          <w:color w:val="000000"/>
          <w:sz w:val="28"/>
          <w:szCs w:val="32"/>
        </w:rPr>
        <w:t xml:space="preserve">imes </w:t>
      </w:r>
      <w:r>
        <w:rPr>
          <w:rFonts w:eastAsiaTheme="minorEastAsia" w:hint="eastAsia"/>
          <w:b/>
          <w:color w:val="000000"/>
          <w:sz w:val="28"/>
          <w:szCs w:val="32"/>
          <w:lang w:eastAsia="zh-CN"/>
        </w:rPr>
        <w:t xml:space="preserve">new roman </w:t>
      </w:r>
      <w:r w:rsidRPr="00F63A08">
        <w:rPr>
          <w:b/>
          <w:color w:val="000000"/>
          <w:sz w:val="28"/>
          <w:szCs w:val="32"/>
        </w:rPr>
        <w:t>1</w:t>
      </w:r>
      <w:r w:rsidRPr="00F63A08">
        <w:rPr>
          <w:rFonts w:eastAsia="宋体"/>
          <w:b/>
          <w:color w:val="000000"/>
          <w:sz w:val="28"/>
          <w:szCs w:val="32"/>
          <w:lang w:eastAsia="zh-CN"/>
        </w:rPr>
        <w:t>4</w:t>
      </w:r>
      <w:r w:rsidRPr="00F63A08">
        <w:rPr>
          <w:b/>
          <w:color w:val="000000"/>
          <w:sz w:val="28"/>
          <w:szCs w:val="32"/>
        </w:rPr>
        <w:t xml:space="preserve">pt, </w:t>
      </w:r>
      <w:r>
        <w:rPr>
          <w:rFonts w:eastAsiaTheme="minorEastAsia" w:hint="eastAsia"/>
          <w:b/>
          <w:color w:val="000000"/>
          <w:sz w:val="28"/>
          <w:szCs w:val="32"/>
          <w:lang w:eastAsia="zh-CN"/>
        </w:rPr>
        <w:t>b</w:t>
      </w:r>
      <w:r w:rsidRPr="00F63A08">
        <w:rPr>
          <w:b/>
          <w:color w:val="000000"/>
          <w:sz w:val="28"/>
          <w:szCs w:val="32"/>
        </w:rPr>
        <w:t xml:space="preserve">old </w:t>
      </w:r>
      <w:r>
        <w:rPr>
          <w:rFonts w:eastAsiaTheme="minorEastAsia" w:hint="eastAsia"/>
          <w:b/>
          <w:color w:val="000000"/>
          <w:sz w:val="28"/>
          <w:szCs w:val="32"/>
          <w:lang w:eastAsia="zh-CN"/>
        </w:rPr>
        <w:t>s</w:t>
      </w:r>
      <w:r w:rsidRPr="00F63A08">
        <w:rPr>
          <w:b/>
          <w:color w:val="000000"/>
          <w:sz w:val="28"/>
          <w:szCs w:val="32"/>
        </w:rPr>
        <w:t xml:space="preserve">ingle </w:t>
      </w:r>
      <w:r>
        <w:rPr>
          <w:rFonts w:eastAsiaTheme="minorEastAsia" w:hint="eastAsia"/>
          <w:b/>
          <w:color w:val="000000"/>
          <w:sz w:val="28"/>
          <w:szCs w:val="32"/>
          <w:lang w:eastAsia="zh-CN"/>
        </w:rPr>
        <w:t>s</w:t>
      </w:r>
      <w:r w:rsidRPr="00F63A08">
        <w:rPr>
          <w:b/>
          <w:color w:val="000000"/>
          <w:sz w:val="28"/>
          <w:szCs w:val="32"/>
        </w:rPr>
        <w:t>pace</w:t>
      </w:r>
    </w:p>
    <w:p w:rsidR="007B7F49" w:rsidRDefault="007B7F49">
      <w:pPr>
        <w:jc w:val="center"/>
        <w:rPr>
          <w:b/>
          <w:color w:val="000000"/>
          <w:sz w:val="24"/>
          <w:szCs w:val="28"/>
        </w:rPr>
      </w:pPr>
    </w:p>
    <w:p w:rsidR="007B7F49" w:rsidRDefault="00000000">
      <w:pPr>
        <w:pStyle w:val="ACTSauthor"/>
        <w:rPr>
          <w:sz w:val="18"/>
          <w:szCs w:val="18"/>
        </w:rPr>
      </w:pPr>
      <w:r>
        <w:rPr>
          <w:sz w:val="18"/>
          <w:szCs w:val="18"/>
        </w:rPr>
        <w:t>First A. Author</w:t>
      </w:r>
      <w:r>
        <w:rPr>
          <w:rStyle w:val="ACTSauthorsuperscript"/>
          <w:sz w:val="18"/>
          <w:szCs w:val="18"/>
        </w:rPr>
        <w:t>1</w:t>
      </w:r>
      <w:r>
        <w:rPr>
          <w:rStyle w:val="ACTSauthorsuperscript"/>
          <w:sz w:val="18"/>
          <w:szCs w:val="18"/>
        </w:rPr>
        <w:sym w:font="Wingdings 2" w:char="F085"/>
      </w:r>
      <w:r>
        <w:rPr>
          <w:rFonts w:hint="eastAsia"/>
          <w:sz w:val="18"/>
          <w:szCs w:val="18"/>
          <w:lang w:eastAsia="ja-JP"/>
        </w:rPr>
        <w:t xml:space="preserve">, </w:t>
      </w:r>
      <w:r>
        <w:rPr>
          <w:sz w:val="18"/>
          <w:szCs w:val="18"/>
        </w:rPr>
        <w:t>Second B. Author</w:t>
      </w:r>
      <w:r>
        <w:rPr>
          <w:sz w:val="18"/>
          <w:szCs w:val="18"/>
          <w:vertAlign w:val="superscript"/>
        </w:rPr>
        <w:t>1</w:t>
      </w:r>
      <w:r>
        <w:rPr>
          <w:sz w:val="18"/>
          <w:szCs w:val="18"/>
        </w:rPr>
        <w:t>, Third C. Author</w:t>
      </w:r>
      <w:r>
        <w:rPr>
          <w:sz w:val="18"/>
          <w:szCs w:val="18"/>
          <w:vertAlign w:val="superscript"/>
        </w:rPr>
        <w:t>2</w:t>
      </w:r>
      <w:r>
        <w:rPr>
          <w:sz w:val="18"/>
          <w:szCs w:val="18"/>
        </w:rPr>
        <w:t>, Fourth D. Author</w:t>
      </w:r>
      <w:r>
        <w:rPr>
          <w:sz w:val="18"/>
          <w:szCs w:val="18"/>
          <w:vertAlign w:val="superscript"/>
        </w:rPr>
        <w:t>3*</w:t>
      </w:r>
      <w:r>
        <w:rPr>
          <w:sz w:val="18"/>
          <w:szCs w:val="18"/>
        </w:rPr>
        <w:t>, …</w:t>
      </w:r>
      <w:r>
        <w:rPr>
          <w:color w:val="000000"/>
          <w:sz w:val="18"/>
          <w:szCs w:val="18"/>
        </w:rPr>
        <w:t>: Times 9pt, centered</w:t>
      </w:r>
    </w:p>
    <w:p w:rsidR="007B7F49" w:rsidRDefault="00000000">
      <w:pPr>
        <w:pStyle w:val="ACTSaffilliation"/>
        <w:rPr>
          <w:sz w:val="18"/>
          <w:szCs w:val="18"/>
        </w:rPr>
      </w:pPr>
      <w:r>
        <w:rPr>
          <w:sz w:val="18"/>
          <w:szCs w:val="18"/>
          <w:vertAlign w:val="superscript"/>
        </w:rPr>
        <w:t>1</w:t>
      </w:r>
      <w:r>
        <w:rPr>
          <w:sz w:val="18"/>
          <w:szCs w:val="18"/>
        </w:rPr>
        <w:t>Shanghai Jiao Tong University, 800 Dong Chuan Rd. Minhang District, Shanghai 200240, China</w:t>
      </w:r>
    </w:p>
    <w:p w:rsidR="007B7F49" w:rsidRDefault="00000000">
      <w:pPr>
        <w:pStyle w:val="ACTSaffilliation"/>
        <w:rPr>
          <w:sz w:val="18"/>
          <w:szCs w:val="18"/>
        </w:rPr>
      </w:pPr>
      <w:r>
        <w:rPr>
          <w:sz w:val="18"/>
          <w:szCs w:val="18"/>
          <w:vertAlign w:val="superscript"/>
        </w:rPr>
        <w:t>2</w:t>
      </w:r>
      <w:r>
        <w:rPr>
          <w:sz w:val="18"/>
          <w:szCs w:val="18"/>
        </w:rPr>
        <w:t>University of Maryland, College Park, MD 20742, USA</w:t>
      </w:r>
    </w:p>
    <w:p w:rsidR="007B7F49" w:rsidRDefault="00000000">
      <w:pPr>
        <w:pStyle w:val="ACTSaffilliation"/>
        <w:rPr>
          <w:sz w:val="18"/>
          <w:szCs w:val="18"/>
        </w:rPr>
      </w:pPr>
      <w:r>
        <w:rPr>
          <w:sz w:val="18"/>
          <w:szCs w:val="18"/>
          <w:vertAlign w:val="superscript"/>
        </w:rPr>
        <w:t>3</w:t>
      </w:r>
      <w:r>
        <w:rPr>
          <w:sz w:val="18"/>
          <w:szCs w:val="18"/>
        </w:rPr>
        <w:t>The University of Tokyo, Hongo 7-3-1, Bunkyo-</w:t>
      </w:r>
      <w:proofErr w:type="spellStart"/>
      <w:r>
        <w:rPr>
          <w:sz w:val="18"/>
          <w:szCs w:val="18"/>
        </w:rPr>
        <w:t>ku</w:t>
      </w:r>
      <w:proofErr w:type="spellEnd"/>
      <w:r>
        <w:rPr>
          <w:sz w:val="18"/>
          <w:szCs w:val="18"/>
        </w:rPr>
        <w:t>, Tokyo 123-4567, Japan</w:t>
      </w:r>
    </w:p>
    <w:p w:rsidR="007B7F49" w:rsidRDefault="007B7F49">
      <w:pPr>
        <w:pStyle w:val="ACTSaffilliation"/>
        <w:rPr>
          <w:sz w:val="18"/>
          <w:szCs w:val="18"/>
        </w:rPr>
      </w:pPr>
    </w:p>
    <w:p w:rsidR="007B7F49" w:rsidRDefault="00000000">
      <w:pPr>
        <w:pStyle w:val="ACTSaffilliation"/>
        <w:rPr>
          <w:rStyle w:val="a9"/>
          <w:color w:val="auto"/>
          <w:sz w:val="18"/>
          <w:szCs w:val="18"/>
          <w:u w:val="none"/>
        </w:rPr>
      </w:pPr>
      <w:r>
        <w:rPr>
          <w:sz w:val="18"/>
          <w:szCs w:val="18"/>
          <w:vertAlign w:val="superscript"/>
        </w:rPr>
        <w:sym w:font="Wingdings 2" w:char="F085"/>
      </w:r>
      <w:r>
        <w:rPr>
          <w:sz w:val="18"/>
          <w:szCs w:val="18"/>
        </w:rPr>
        <w:t xml:space="preserve">Presenting Author: </w:t>
      </w:r>
      <w:hyperlink r:id="rId8" w:history="1">
        <w:r>
          <w:rPr>
            <w:rStyle w:val="a9"/>
            <w:color w:val="auto"/>
            <w:sz w:val="18"/>
            <w:szCs w:val="18"/>
            <w:u w:val="none"/>
          </w:rPr>
          <w:t>first.author@affiliation.com</w:t>
        </w:r>
      </w:hyperlink>
    </w:p>
    <w:p w:rsidR="007B7F49" w:rsidRDefault="00000000">
      <w:pPr>
        <w:pStyle w:val="ACTSaffilliation"/>
        <w:rPr>
          <w:rStyle w:val="a9"/>
          <w:color w:val="auto"/>
          <w:sz w:val="18"/>
          <w:szCs w:val="18"/>
          <w:u w:val="none"/>
        </w:rPr>
      </w:pPr>
      <w:r>
        <w:rPr>
          <w:sz w:val="18"/>
          <w:szCs w:val="18"/>
          <w:vertAlign w:val="superscript"/>
        </w:rPr>
        <w:t>*</w:t>
      </w:r>
      <w:r>
        <w:rPr>
          <w:sz w:val="18"/>
          <w:szCs w:val="18"/>
        </w:rPr>
        <w:t xml:space="preserve">Corresponding Author: </w:t>
      </w:r>
      <w:hyperlink r:id="rId9" w:history="1">
        <w:r>
          <w:rPr>
            <w:rStyle w:val="a9"/>
            <w:color w:val="auto"/>
            <w:sz w:val="18"/>
            <w:szCs w:val="18"/>
            <w:u w:val="none"/>
          </w:rPr>
          <w:t>fourth.author@affiliation.com</w:t>
        </w:r>
      </w:hyperlink>
    </w:p>
    <w:p w:rsidR="007B7F49" w:rsidRDefault="007B7F49">
      <w:pPr>
        <w:rPr>
          <w:b/>
          <w:bCs/>
          <w:color w:val="000000"/>
          <w:sz w:val="20"/>
        </w:rPr>
      </w:pPr>
    </w:p>
    <w:p w:rsidR="007B7F49" w:rsidRDefault="007B7F49">
      <w:pPr>
        <w:rPr>
          <w:b/>
          <w:bCs/>
          <w:color w:val="000000"/>
          <w:sz w:val="20"/>
        </w:rPr>
        <w:sectPr w:rsidR="007B7F49">
          <w:headerReference w:type="default" r:id="rId10"/>
          <w:footerReference w:type="default" r:id="rId11"/>
          <w:pgSz w:w="12240" w:h="15840"/>
          <w:pgMar w:top="1440" w:right="1138" w:bottom="1138" w:left="1138" w:header="720" w:footer="0" w:gutter="0"/>
          <w:cols w:space="720"/>
          <w:docGrid w:linePitch="360"/>
        </w:sectPr>
      </w:pPr>
    </w:p>
    <w:p w:rsidR="007B7F49" w:rsidRDefault="00000000">
      <w:pPr>
        <w:rPr>
          <w:b/>
          <w:bCs/>
          <w:color w:val="000000"/>
          <w:sz w:val="20"/>
        </w:rPr>
      </w:pPr>
      <w:r>
        <w:rPr>
          <w:b/>
          <w:bCs/>
          <w:color w:val="000000"/>
          <w:sz w:val="20"/>
        </w:rPr>
        <w:t>Abstract</w:t>
      </w:r>
    </w:p>
    <w:p w:rsidR="007B7F49" w:rsidRDefault="00000000">
      <w:pPr>
        <w:ind w:firstLine="284"/>
        <w:rPr>
          <w:color w:val="000000"/>
          <w:spacing w:val="0"/>
          <w:sz w:val="20"/>
          <w:szCs w:val="20"/>
          <w:lang w:eastAsia="ja-JP"/>
        </w:rPr>
      </w:pPr>
      <w:r>
        <w:rPr>
          <w:sz w:val="20"/>
          <w:szCs w:val="20"/>
        </w:rPr>
        <w:t xml:space="preserve">This is a Word format </w:t>
      </w:r>
      <w:r>
        <w:rPr>
          <w:rFonts w:hint="eastAsia"/>
          <w:sz w:val="20"/>
          <w:szCs w:val="20"/>
        </w:rPr>
        <w:t xml:space="preserve">(A4 page) </w:t>
      </w:r>
      <w:r>
        <w:rPr>
          <w:sz w:val="20"/>
          <w:szCs w:val="20"/>
        </w:rPr>
        <w:t xml:space="preserve">to prepare your </w:t>
      </w:r>
      <w:r>
        <w:rPr>
          <w:rFonts w:hint="eastAsia"/>
          <w:sz w:val="20"/>
          <w:szCs w:val="20"/>
        </w:rPr>
        <w:t>manuscript</w:t>
      </w:r>
      <w:r>
        <w:rPr>
          <w:sz w:val="20"/>
          <w:szCs w:val="20"/>
        </w:rPr>
        <w:t>.</w:t>
      </w:r>
      <w:r>
        <w:rPr>
          <w:rFonts w:hint="eastAsia"/>
          <w:sz w:val="20"/>
          <w:szCs w:val="20"/>
        </w:rPr>
        <w:t xml:space="preserve"> </w:t>
      </w:r>
      <w:r>
        <w:rPr>
          <w:sz w:val="20"/>
          <w:szCs w:val="20"/>
        </w:rPr>
        <w:t xml:space="preserve">The instructions below must be respected by all authors. </w:t>
      </w:r>
      <w:r>
        <w:rPr>
          <w:color w:val="FF0000"/>
          <w:sz w:val="20"/>
          <w:szCs w:val="20"/>
        </w:rPr>
        <w:t>The total length of a</w:t>
      </w:r>
      <w:r>
        <w:rPr>
          <w:rFonts w:hint="eastAsia"/>
          <w:color w:val="FF0000"/>
          <w:sz w:val="20"/>
          <w:szCs w:val="20"/>
        </w:rPr>
        <w:t xml:space="preserve"> </w:t>
      </w:r>
      <w:r>
        <w:rPr>
          <w:color w:val="FF0000"/>
          <w:sz w:val="20"/>
          <w:szCs w:val="20"/>
        </w:rPr>
        <w:t>two-page extended abstract</w:t>
      </w:r>
      <w:r>
        <w:rPr>
          <w:rFonts w:hint="eastAsia"/>
          <w:color w:val="FF0000"/>
          <w:sz w:val="20"/>
          <w:szCs w:val="20"/>
        </w:rPr>
        <w:t xml:space="preserve"> </w:t>
      </w:r>
      <w:r>
        <w:rPr>
          <w:color w:val="FF0000"/>
          <w:sz w:val="20"/>
          <w:szCs w:val="20"/>
        </w:rPr>
        <w:t>should be 2 pages</w:t>
      </w:r>
      <w:r>
        <w:rPr>
          <w:rFonts w:hint="eastAsia"/>
          <w:color w:val="FF0000"/>
          <w:sz w:val="20"/>
          <w:szCs w:val="20"/>
        </w:rPr>
        <w:t>.</w:t>
      </w:r>
      <w:r>
        <w:rPr>
          <w:color w:val="FF0000"/>
          <w:sz w:val="20"/>
          <w:szCs w:val="20"/>
        </w:rPr>
        <w:t xml:space="preserve"> </w:t>
      </w:r>
      <w:r>
        <w:rPr>
          <w:color w:val="000000"/>
          <w:sz w:val="20"/>
        </w:rPr>
        <w:t>The abstract should clearly state the purpose, the methodology, the results, and the conclusions of the work.</w:t>
      </w:r>
    </w:p>
    <w:p w:rsidR="007B7F49" w:rsidRDefault="007B7F49">
      <w:pPr>
        <w:rPr>
          <w:b/>
          <w:bCs/>
          <w:color w:val="000000"/>
          <w:sz w:val="20"/>
        </w:rPr>
      </w:pPr>
    </w:p>
    <w:p w:rsidR="007B7F49" w:rsidRDefault="00000000">
      <w:pPr>
        <w:rPr>
          <w:b/>
          <w:bCs/>
          <w:color w:val="000000"/>
          <w:sz w:val="20"/>
        </w:rPr>
      </w:pPr>
      <w:r>
        <w:rPr>
          <w:rFonts w:hint="eastAsia"/>
          <w:b/>
          <w:bCs/>
          <w:color w:val="000000"/>
          <w:sz w:val="20"/>
        </w:rPr>
        <w:t>Keywords</w:t>
      </w:r>
    </w:p>
    <w:p w:rsidR="007B7F49" w:rsidRDefault="00000000">
      <w:pPr>
        <w:ind w:firstLine="284"/>
        <w:rPr>
          <w:rFonts w:eastAsiaTheme="minorEastAsia"/>
          <w:sz w:val="20"/>
          <w:szCs w:val="20"/>
          <w:lang w:eastAsia="zh-CN"/>
        </w:rPr>
      </w:pPr>
      <w:r>
        <w:rPr>
          <w:rFonts w:hint="eastAsia"/>
          <w:sz w:val="20"/>
          <w:szCs w:val="20"/>
        </w:rPr>
        <w:t>keyword 1, keyword 2, keyword 3, keyword 4, keyword 5, keyword 6</w:t>
      </w:r>
      <w:r>
        <w:rPr>
          <w:sz w:val="20"/>
          <w:szCs w:val="20"/>
        </w:rPr>
        <w:t xml:space="preserve"> </w:t>
      </w:r>
      <w:r>
        <w:rPr>
          <w:rFonts w:eastAsiaTheme="minorEastAsia" w:hint="eastAsia"/>
          <w:sz w:val="20"/>
          <w:szCs w:val="20"/>
          <w:lang w:eastAsia="zh-CN"/>
        </w:rPr>
        <w:t>(</w:t>
      </w:r>
      <w:r>
        <w:rPr>
          <w:rFonts w:hint="eastAsia"/>
          <w:sz w:val="20"/>
          <w:szCs w:val="20"/>
        </w:rPr>
        <w:t>Please provide 4 to 6 keywords which can be used for indexing purposes.</w:t>
      </w:r>
      <w:r>
        <w:rPr>
          <w:rFonts w:eastAsiaTheme="minorEastAsia" w:hint="eastAsia"/>
          <w:sz w:val="20"/>
          <w:szCs w:val="20"/>
          <w:lang w:eastAsia="zh-CN"/>
        </w:rPr>
        <w:t>)</w:t>
      </w:r>
    </w:p>
    <w:p w:rsidR="007B7F49" w:rsidRDefault="007B7F49">
      <w:pPr>
        <w:rPr>
          <w:b/>
          <w:bCs/>
          <w:color w:val="000000"/>
          <w:sz w:val="20"/>
        </w:rPr>
      </w:pPr>
    </w:p>
    <w:p w:rsidR="007B7F49" w:rsidRDefault="00000000">
      <w:pPr>
        <w:rPr>
          <w:b/>
          <w:bCs/>
          <w:color w:val="000000"/>
          <w:sz w:val="20"/>
        </w:rPr>
      </w:pPr>
      <w:r>
        <w:rPr>
          <w:b/>
          <w:bCs/>
          <w:color w:val="000000"/>
          <w:sz w:val="20"/>
        </w:rPr>
        <w:t>1 Introduction</w:t>
      </w:r>
    </w:p>
    <w:p w:rsidR="00E61253" w:rsidRPr="00E61253" w:rsidRDefault="00E61253" w:rsidP="00E61253">
      <w:pPr>
        <w:ind w:firstLine="284"/>
        <w:rPr>
          <w:sz w:val="20"/>
          <w:szCs w:val="20"/>
        </w:rPr>
      </w:pPr>
      <w:r w:rsidRPr="00E61253">
        <w:rPr>
          <w:sz w:val="20"/>
          <w:szCs w:val="20"/>
        </w:rPr>
        <w:t>The 2</w:t>
      </w:r>
      <w:r w:rsidRPr="00E61253">
        <w:rPr>
          <w:sz w:val="20"/>
          <w:szCs w:val="20"/>
          <w:vertAlign w:val="superscript"/>
        </w:rPr>
        <w:t xml:space="preserve">nd </w:t>
      </w:r>
      <w:r w:rsidRPr="00E61253">
        <w:rPr>
          <w:sz w:val="20"/>
          <w:szCs w:val="20"/>
        </w:rPr>
        <w:t xml:space="preserve">International Conference on Carbon Neutrality 2025 (ICCN-2025, </w:t>
      </w:r>
      <w:hyperlink r:id="rId12" w:history="1">
        <w:r w:rsidRPr="008C544F">
          <w:rPr>
            <w:rStyle w:val="a9"/>
            <w:sz w:val="20"/>
            <w:szCs w:val="20"/>
          </w:rPr>
          <w:t>https://iccn.sjtu.edu.cn/</w:t>
        </w:r>
      </w:hyperlink>
      <w:r>
        <w:rPr>
          <w:rFonts w:eastAsiaTheme="minorEastAsia" w:hint="eastAsia"/>
          <w:sz w:val="20"/>
          <w:szCs w:val="20"/>
          <w:lang w:eastAsia="zh-CN"/>
        </w:rPr>
        <w:t xml:space="preserve"> </w:t>
      </w:r>
      <w:r w:rsidRPr="00E61253">
        <w:rPr>
          <w:sz w:val="20"/>
          <w:szCs w:val="20"/>
        </w:rPr>
        <w:t>) will be held in Shanghai, China, September 5-7, 2025. ICCN-2025 will be hosted by Shanghai Jiao Tong University, and co-organized by several world-class universities. The International Conference on Carbon Neutrality is a series of conferences organized every two years, with the first conference successfully held in Shanghai in 2023, attracting over 200 attendees from around the world.</w:t>
      </w:r>
    </w:p>
    <w:p w:rsidR="007B7F49" w:rsidRDefault="00E61253" w:rsidP="00E61253">
      <w:pPr>
        <w:ind w:firstLine="284"/>
        <w:rPr>
          <w:sz w:val="20"/>
          <w:szCs w:val="20"/>
        </w:rPr>
      </w:pPr>
      <w:r w:rsidRPr="00E61253">
        <w:rPr>
          <w:sz w:val="20"/>
          <w:szCs w:val="20"/>
        </w:rPr>
        <w:t>Achieving carbon neutrality calls for a systematic in-depth transition of technology, economy and society, which will completely change the traditional modes of production, living and consumption. Carbon neutrality, as a multi-disciplinary and comprehensive research area, involves energy, environment, finance, management, and other fields. The main objective of ICCN-2025 is to bring together scientists, engineers, industry researchers, and practitioners together to exchange and share their experiences and scientific findings that could accelerate the progress towards carbon neutrality. We sincerely invite forward-looking scientists, engineers, researchers and students from all over the world to join ICCN-2025.</w:t>
      </w:r>
    </w:p>
    <w:p w:rsidR="007B7F49" w:rsidRPr="002D6DE5" w:rsidRDefault="00000000">
      <w:pPr>
        <w:ind w:firstLine="284"/>
        <w:rPr>
          <w:rFonts w:eastAsiaTheme="minorEastAsia" w:hint="eastAsia"/>
          <w:sz w:val="20"/>
          <w:szCs w:val="20"/>
          <w:lang w:eastAsia="zh-CN"/>
        </w:rPr>
      </w:pPr>
      <w:r>
        <w:rPr>
          <w:sz w:val="20"/>
          <w:szCs w:val="20"/>
        </w:rPr>
        <w:t>Two-page extended abstract for ICCN-202</w:t>
      </w:r>
      <w:r>
        <w:rPr>
          <w:rFonts w:eastAsia="宋体" w:hint="eastAsia"/>
          <w:sz w:val="20"/>
          <w:szCs w:val="20"/>
          <w:lang w:eastAsia="zh-CN"/>
        </w:rPr>
        <w:t>5</w:t>
      </w:r>
      <w:r>
        <w:rPr>
          <w:sz w:val="20"/>
          <w:szCs w:val="20"/>
        </w:rPr>
        <w:t xml:space="preserve"> should be submitted online to the ICCN-202</w:t>
      </w:r>
      <w:r>
        <w:rPr>
          <w:rFonts w:eastAsia="宋体" w:hint="eastAsia"/>
          <w:sz w:val="20"/>
          <w:szCs w:val="20"/>
          <w:lang w:eastAsia="zh-CN"/>
        </w:rPr>
        <w:t>5</w:t>
      </w:r>
      <w:r>
        <w:rPr>
          <w:sz w:val="20"/>
          <w:szCs w:val="20"/>
        </w:rPr>
        <w:t xml:space="preserve"> web page. Once an abstract has been accepted, the full-length paper can be optionally submitted by the due date. </w:t>
      </w:r>
      <w:r w:rsidR="00F06C48" w:rsidRPr="00F06C48">
        <w:rPr>
          <w:sz w:val="20"/>
          <w:szCs w:val="20"/>
        </w:rPr>
        <w:t>Selected high quality full-length papers from ICCN-2025 will be further reviewed and published in Carbon Neutrality</w:t>
      </w:r>
      <w:r w:rsidR="002D6DE5">
        <w:rPr>
          <w:rFonts w:asciiTheme="minorEastAsia" w:eastAsiaTheme="minorEastAsia" w:hAnsiTheme="minorEastAsia" w:hint="eastAsia"/>
          <w:sz w:val="20"/>
          <w:szCs w:val="20"/>
          <w:lang w:eastAsia="zh-CN"/>
        </w:rPr>
        <w:t>.</w:t>
      </w:r>
    </w:p>
    <w:p w:rsidR="002D6DE5" w:rsidRPr="00E149A8" w:rsidRDefault="002D6DE5" w:rsidP="002D6DE5">
      <w:pPr>
        <w:ind w:firstLine="284"/>
        <w:rPr>
          <w:rFonts w:eastAsiaTheme="minorEastAsia"/>
          <w:sz w:val="20"/>
          <w:szCs w:val="20"/>
          <w:lang w:eastAsia="zh-CN"/>
        </w:rPr>
      </w:pPr>
      <w:r w:rsidRPr="00E149A8">
        <w:rPr>
          <w:i/>
          <w:iCs/>
          <w:sz w:val="20"/>
          <w:szCs w:val="20"/>
        </w:rPr>
        <w:t>Carbon Neutrality</w:t>
      </w:r>
      <w:r w:rsidRPr="00E149A8">
        <w:rPr>
          <w:sz w:val="20"/>
          <w:szCs w:val="20"/>
        </w:rPr>
        <w:t xml:space="preserve"> (ISSN: 2731-3948, </w:t>
      </w:r>
      <w:hyperlink r:id="rId13" w:history="1">
        <w:r w:rsidRPr="00775782">
          <w:rPr>
            <w:rStyle w:val="a9"/>
            <w:sz w:val="20"/>
            <w:szCs w:val="20"/>
          </w:rPr>
          <w:t>www.springer.com/journal/43979</w:t>
        </w:r>
      </w:hyperlink>
      <w:r>
        <w:rPr>
          <w:rFonts w:eastAsiaTheme="minorEastAsia" w:hint="eastAsia"/>
          <w:sz w:val="20"/>
          <w:szCs w:val="20"/>
          <w:lang w:eastAsia="zh-CN"/>
        </w:rPr>
        <w:t xml:space="preserve"> </w:t>
      </w:r>
      <w:r w:rsidRPr="00E149A8">
        <w:rPr>
          <w:sz w:val="20"/>
          <w:szCs w:val="20"/>
        </w:rPr>
        <w:t xml:space="preserve">) is an international, multi-disciplinary academic journal jointly launched by </w:t>
      </w:r>
      <w:r w:rsidRPr="00E149A8">
        <w:rPr>
          <w:sz w:val="20"/>
          <w:szCs w:val="20"/>
        </w:rPr>
        <w:t xml:space="preserve">Shanghai Jiao Tong University and Springer Nature. By publishing highest-quality original research and review papers in the fields of low carbon technology, environmental governance, and carbon finance and carbon management, </w:t>
      </w:r>
      <w:r w:rsidRPr="00AA4011">
        <w:rPr>
          <w:i/>
          <w:iCs/>
          <w:sz w:val="20"/>
          <w:szCs w:val="20"/>
        </w:rPr>
        <w:t>Carbon Neutrality</w:t>
      </w:r>
      <w:r w:rsidRPr="00E149A8">
        <w:rPr>
          <w:sz w:val="20"/>
          <w:szCs w:val="20"/>
        </w:rPr>
        <w:t xml:space="preserve"> aims to establish itself as a flagship and leading international journal in the low-carbon area and to build an international academic exchange platform for cutting-edge net-zero carbon research.</w:t>
      </w:r>
    </w:p>
    <w:p w:rsidR="007B7F49" w:rsidRDefault="002D6DE5" w:rsidP="002D6DE5">
      <w:pPr>
        <w:ind w:firstLine="284"/>
        <w:rPr>
          <w:sz w:val="20"/>
          <w:szCs w:val="20"/>
        </w:rPr>
      </w:pPr>
      <w:r w:rsidRPr="00E149A8">
        <w:rPr>
          <w:sz w:val="20"/>
          <w:szCs w:val="20"/>
        </w:rPr>
        <w:t xml:space="preserve">It is an Open Access journal, yet the Article Processing Charges (APC) are fully waived. It has been indexed in ESCI, </w:t>
      </w:r>
      <w:r w:rsidR="00AA4011">
        <w:rPr>
          <w:rFonts w:eastAsiaTheme="minorEastAsia" w:hint="eastAsia"/>
          <w:sz w:val="20"/>
          <w:szCs w:val="20"/>
          <w:lang w:eastAsia="zh-CN"/>
        </w:rPr>
        <w:t xml:space="preserve">EI, </w:t>
      </w:r>
      <w:r w:rsidRPr="00E149A8">
        <w:rPr>
          <w:sz w:val="20"/>
          <w:szCs w:val="20"/>
        </w:rPr>
        <w:t>Scopus, CAS and DOAJ. In 2023, it was selected as a High-Start Journal in the Excellence Action Plan of China's STM Journals.</w:t>
      </w:r>
    </w:p>
    <w:p w:rsidR="007B7F49" w:rsidRDefault="007B7F49">
      <w:pPr>
        <w:ind w:firstLine="284"/>
        <w:rPr>
          <w:sz w:val="20"/>
          <w:szCs w:val="20"/>
        </w:rPr>
      </w:pPr>
    </w:p>
    <w:p w:rsidR="007B7F49" w:rsidRDefault="00000000">
      <w:pPr>
        <w:rPr>
          <w:b/>
          <w:bCs/>
          <w:color w:val="000000"/>
          <w:spacing w:val="0"/>
          <w:sz w:val="20"/>
          <w:szCs w:val="20"/>
          <w:lang w:eastAsia="ja-JP"/>
        </w:rPr>
      </w:pPr>
      <w:r>
        <w:rPr>
          <w:b/>
          <w:bCs/>
          <w:color w:val="000000"/>
          <w:sz w:val="20"/>
        </w:rPr>
        <w:t>2 Methodology</w:t>
      </w:r>
    </w:p>
    <w:p w:rsidR="007B7F49" w:rsidRDefault="00000000">
      <w:pPr>
        <w:ind w:firstLine="284"/>
        <w:rPr>
          <w:sz w:val="20"/>
        </w:rPr>
      </w:pPr>
      <w:r>
        <w:rPr>
          <w:sz w:val="20"/>
        </w:rPr>
        <w:t>Authors should use Times or Times New Roman, 10-point font for the text. Titles are in bold lower case (initial capital), left aligned. First-line indent can be used to signal the start of new paragraph. The text should be single-spaced. Leave one blank line after each section. Recommended font sizes are shown in Table 1.</w:t>
      </w:r>
    </w:p>
    <w:p w:rsidR="007B7F49" w:rsidRDefault="00000000">
      <w:pPr>
        <w:ind w:firstLine="284"/>
        <w:rPr>
          <w:rFonts w:ascii="Times" w:eastAsia="平成明朝" w:hAnsi="Times"/>
          <w:sz w:val="20"/>
        </w:rPr>
      </w:pPr>
      <w:r>
        <w:rPr>
          <w:sz w:val="20"/>
        </w:rPr>
        <w:t>References should be numbered in series as they are mentioned [1], using Arabic numerals [2,3] in square brackets [4-6].</w:t>
      </w:r>
    </w:p>
    <w:p w:rsidR="007B7F49" w:rsidRDefault="007B7F49">
      <w:pPr>
        <w:rPr>
          <w:sz w:val="20"/>
        </w:rPr>
      </w:pPr>
    </w:p>
    <w:p w:rsidR="007B7F49" w:rsidRDefault="00000000">
      <w:pPr>
        <w:pStyle w:val="IEEEHeading2"/>
        <w:numPr>
          <w:ilvl w:val="1"/>
          <w:numId w:val="2"/>
        </w:numPr>
        <w:rPr>
          <w:lang w:val="en-GB"/>
        </w:rPr>
      </w:pPr>
      <w:r>
        <w:rPr>
          <w:lang w:val="en-GB"/>
        </w:rPr>
        <w:t>Figures and Tables</w:t>
      </w:r>
    </w:p>
    <w:p w:rsidR="007B7F49" w:rsidRDefault="00000000">
      <w:pPr>
        <w:ind w:firstLine="284"/>
        <w:rPr>
          <w:sz w:val="20"/>
        </w:rPr>
      </w:pPr>
      <w:r>
        <w:rPr>
          <w:sz w:val="20"/>
        </w:rPr>
        <w:t xml:space="preserve">Figures and tables must be centered in the column.  Large figures and tables may span across both columns.  Any table or figure that takes up more than 1 column width must be positioned either at the top or at the bottom of the page. </w:t>
      </w:r>
    </w:p>
    <w:p w:rsidR="007B7F49" w:rsidRDefault="00000000">
      <w:pPr>
        <w:ind w:firstLine="284"/>
        <w:rPr>
          <w:sz w:val="20"/>
        </w:rPr>
      </w:pPr>
      <w:r>
        <w:rPr>
          <w:sz w:val="20"/>
        </w:rPr>
        <w:t>Graphics may be full color.  All colors will be retained in the online proceedings but will be gray scale in the printed proceedings.  Graphics must not use stipple fill patterns because they may not be reproduced properly.  Please use only SOLID FILL colors which contrast well both on screen and on a black-and-white hardcopy, as shown in Fig. 1.</w:t>
      </w:r>
    </w:p>
    <w:p w:rsidR="007B7F49" w:rsidRDefault="00000000">
      <w:pPr>
        <w:pStyle w:val="IEEEParagraph"/>
        <w:rPr>
          <w:lang w:val="en-GB"/>
        </w:rPr>
      </w:pPr>
      <w:r>
        <w:rPr>
          <w:lang w:val="en-GB"/>
        </w:rPr>
        <w:t>Please check all figures in your paper both on screen and on a black-and-white hardcopy.  When you check your paper on a black-and-white hardcopy, please ensure that:</w:t>
      </w:r>
    </w:p>
    <w:p w:rsidR="007B7F49" w:rsidRDefault="00000000">
      <w:pPr>
        <w:pStyle w:val="IEEEParagraph"/>
        <w:numPr>
          <w:ilvl w:val="0"/>
          <w:numId w:val="3"/>
        </w:numPr>
        <w:tabs>
          <w:tab w:val="left" w:pos="288"/>
        </w:tabs>
        <w:rPr>
          <w:lang w:val="en-GB"/>
        </w:rPr>
      </w:pPr>
      <w:r>
        <w:rPr>
          <w:lang w:val="en-GB"/>
        </w:rPr>
        <w:t xml:space="preserve">the </w:t>
      </w:r>
      <w:proofErr w:type="spellStart"/>
      <w:r>
        <w:rPr>
          <w:lang w:val="en-GB"/>
        </w:rPr>
        <w:t>colors</w:t>
      </w:r>
      <w:proofErr w:type="spellEnd"/>
      <w:r>
        <w:rPr>
          <w:lang w:val="en-GB"/>
        </w:rPr>
        <w:t xml:space="preserve"> used in each figure contrast well,</w:t>
      </w:r>
    </w:p>
    <w:p w:rsidR="007B7F49" w:rsidRDefault="00000000">
      <w:pPr>
        <w:pStyle w:val="IEEEParagraph"/>
        <w:numPr>
          <w:ilvl w:val="0"/>
          <w:numId w:val="3"/>
        </w:numPr>
        <w:tabs>
          <w:tab w:val="left" w:pos="288"/>
        </w:tabs>
        <w:rPr>
          <w:lang w:val="en-GB"/>
        </w:rPr>
      </w:pPr>
      <w:r>
        <w:rPr>
          <w:lang w:val="en-GB"/>
        </w:rPr>
        <w:t>the image used in each figure is clear,</w:t>
      </w:r>
    </w:p>
    <w:p w:rsidR="007B7F49" w:rsidRDefault="00000000">
      <w:pPr>
        <w:pStyle w:val="IEEEParagraph"/>
        <w:numPr>
          <w:ilvl w:val="0"/>
          <w:numId w:val="3"/>
        </w:numPr>
        <w:tabs>
          <w:tab w:val="left" w:pos="288"/>
        </w:tabs>
        <w:rPr>
          <w:lang w:val="en-GB"/>
        </w:rPr>
      </w:pPr>
      <w:r>
        <w:rPr>
          <w:lang w:val="en-GB"/>
        </w:rPr>
        <w:t>all text labels in each figure are legible.</w:t>
      </w:r>
    </w:p>
    <w:p w:rsidR="007B7F49" w:rsidRDefault="00000000">
      <w:pPr>
        <w:pStyle w:val="IEEEParagraph"/>
        <w:numPr>
          <w:ilvl w:val="0"/>
          <w:numId w:val="3"/>
        </w:numPr>
        <w:tabs>
          <w:tab w:val="left" w:pos="288"/>
        </w:tabs>
        <w:rPr>
          <w:lang w:val="en-GB"/>
        </w:rPr>
      </w:pPr>
      <w:r>
        <w:rPr>
          <w:lang w:val="en-GB"/>
        </w:rPr>
        <w:t>That each figure is centred.</w:t>
      </w:r>
    </w:p>
    <w:p w:rsidR="007B7F49" w:rsidRDefault="007B7F49" w:rsidP="0063579F">
      <w:pPr>
        <w:pStyle w:val="IEEEParagraph"/>
        <w:tabs>
          <w:tab w:val="left" w:pos="288"/>
          <w:tab w:val="left" w:pos="432"/>
        </w:tabs>
        <w:ind w:firstLine="0"/>
        <w:rPr>
          <w:rFonts w:hint="eastAsia"/>
          <w:lang w:val="en-GB" w:eastAsia="zh-CN"/>
        </w:rPr>
      </w:pPr>
    </w:p>
    <w:p w:rsidR="007B7F49" w:rsidRDefault="00000000">
      <w:pPr>
        <w:pStyle w:val="IEEEHeading2"/>
        <w:numPr>
          <w:ilvl w:val="1"/>
          <w:numId w:val="2"/>
        </w:numPr>
        <w:rPr>
          <w:lang w:val="en-GB"/>
        </w:rPr>
      </w:pPr>
      <w:r>
        <w:rPr>
          <w:lang w:val="en-GB"/>
        </w:rPr>
        <w:lastRenderedPageBreak/>
        <w:t>Table requirements</w:t>
      </w:r>
    </w:p>
    <w:p w:rsidR="007B7F49" w:rsidRDefault="00000000">
      <w:pPr>
        <w:ind w:firstLine="284"/>
        <w:rPr>
          <w:sz w:val="20"/>
        </w:rPr>
      </w:pPr>
      <w:r>
        <w:rPr>
          <w:sz w:val="20"/>
        </w:rPr>
        <w:t xml:space="preserve">Authors should take notice of the limitations set by the size and layout of the journal. Large tables should be avoided. Reversing columns and rows will often reduce the dimensions of a table. If many data are to be presented, an attempt should be made to divide them into two or more tables. </w:t>
      </w:r>
    </w:p>
    <w:p w:rsidR="007B7F49" w:rsidRDefault="007B7F49">
      <w:pPr>
        <w:rPr>
          <w:sz w:val="16"/>
          <w:szCs w:val="16"/>
        </w:rPr>
      </w:pPr>
    </w:p>
    <w:p w:rsidR="007B7F49" w:rsidRDefault="00000000">
      <w:pPr>
        <w:ind w:firstLine="284"/>
        <w:jc w:val="center"/>
        <w:rPr>
          <w:sz w:val="16"/>
          <w:szCs w:val="16"/>
        </w:rPr>
      </w:pPr>
      <w:r>
        <w:rPr>
          <w:sz w:val="16"/>
          <w:szCs w:val="16"/>
        </w:rPr>
        <w:t xml:space="preserve">Table </w:t>
      </w:r>
      <w:proofErr w:type="gramStart"/>
      <w:r>
        <w:rPr>
          <w:sz w:val="16"/>
          <w:szCs w:val="16"/>
        </w:rPr>
        <w:t>1  Font</w:t>
      </w:r>
      <w:proofErr w:type="gramEnd"/>
      <w:r>
        <w:rPr>
          <w:sz w:val="16"/>
          <w:szCs w:val="16"/>
        </w:rPr>
        <w:t xml:space="preserve"> sizes for papers</w:t>
      </w:r>
    </w:p>
    <w:p w:rsidR="007B7F49" w:rsidRDefault="007B7F49">
      <w:pPr>
        <w:ind w:firstLine="284"/>
        <w:jc w:val="center"/>
        <w:rPr>
          <w:sz w:val="16"/>
          <w:szCs w:val="16"/>
        </w:rPr>
      </w:pPr>
    </w:p>
    <w:tbl>
      <w:tblPr>
        <w:tblW w:w="4985" w:type="dxa"/>
        <w:jc w:val="center"/>
        <w:tblBorders>
          <w:top w:val="single" w:sz="4" w:space="0" w:color="auto"/>
          <w:bottom w:val="single" w:sz="4" w:space="0" w:color="auto"/>
        </w:tblBorders>
        <w:tblLayout w:type="fixed"/>
        <w:tblLook w:val="04A0" w:firstRow="1" w:lastRow="0" w:firstColumn="1" w:lastColumn="0" w:noHBand="0" w:noVBand="1"/>
      </w:tblPr>
      <w:tblGrid>
        <w:gridCol w:w="741"/>
        <w:gridCol w:w="1559"/>
        <w:gridCol w:w="1080"/>
        <w:gridCol w:w="1605"/>
      </w:tblGrid>
      <w:tr w:rsidR="007B7F49">
        <w:trPr>
          <w:jc w:val="center"/>
        </w:trPr>
        <w:tc>
          <w:tcPr>
            <w:tcW w:w="741" w:type="dxa"/>
            <w:vMerge w:val="restart"/>
          </w:tcPr>
          <w:p w:rsidR="007B7F49" w:rsidRDefault="00000000">
            <w:pPr>
              <w:pStyle w:val="IEEETableHeaderLeft-Justified"/>
            </w:pPr>
            <w:r>
              <w:t>Font Size</w:t>
            </w:r>
          </w:p>
        </w:tc>
        <w:tc>
          <w:tcPr>
            <w:tcW w:w="4244" w:type="dxa"/>
            <w:gridSpan w:val="3"/>
            <w:tcBorders>
              <w:bottom w:val="single" w:sz="4" w:space="0" w:color="auto"/>
            </w:tcBorders>
          </w:tcPr>
          <w:p w:rsidR="007B7F49" w:rsidRDefault="00000000">
            <w:pPr>
              <w:pStyle w:val="IEEETableHeaderCentered"/>
            </w:pPr>
            <w:r>
              <w:t>Appearance (in Time New Roman or Times)</w:t>
            </w:r>
          </w:p>
        </w:tc>
      </w:tr>
      <w:tr w:rsidR="007B7F49">
        <w:trPr>
          <w:jc w:val="center"/>
        </w:trPr>
        <w:tc>
          <w:tcPr>
            <w:tcW w:w="741" w:type="dxa"/>
            <w:vMerge/>
            <w:tcBorders>
              <w:bottom w:val="single" w:sz="4" w:space="0" w:color="auto"/>
            </w:tcBorders>
          </w:tcPr>
          <w:p w:rsidR="007B7F49" w:rsidRDefault="007B7F49">
            <w:pPr>
              <w:pStyle w:val="IEEETableCell"/>
              <w:rPr>
                <w:b/>
                <w:bCs/>
              </w:rPr>
            </w:pPr>
          </w:p>
        </w:tc>
        <w:tc>
          <w:tcPr>
            <w:tcW w:w="1559" w:type="dxa"/>
            <w:tcBorders>
              <w:top w:val="single" w:sz="4" w:space="0" w:color="auto"/>
              <w:bottom w:val="single" w:sz="4" w:space="0" w:color="auto"/>
            </w:tcBorders>
          </w:tcPr>
          <w:p w:rsidR="007B7F49" w:rsidRDefault="00000000">
            <w:pPr>
              <w:pStyle w:val="IEEETableHeaderLeft-Justified"/>
            </w:pPr>
            <w:r>
              <w:t>Regular</w:t>
            </w:r>
          </w:p>
        </w:tc>
        <w:tc>
          <w:tcPr>
            <w:tcW w:w="1080" w:type="dxa"/>
            <w:tcBorders>
              <w:top w:val="single" w:sz="4" w:space="0" w:color="auto"/>
              <w:bottom w:val="single" w:sz="4" w:space="0" w:color="auto"/>
            </w:tcBorders>
          </w:tcPr>
          <w:p w:rsidR="007B7F49" w:rsidRDefault="00000000">
            <w:pPr>
              <w:pStyle w:val="IEEETableHeaderLeft-Justified"/>
            </w:pPr>
            <w:r>
              <w:t>Bold</w:t>
            </w:r>
          </w:p>
        </w:tc>
        <w:tc>
          <w:tcPr>
            <w:tcW w:w="1605" w:type="dxa"/>
            <w:tcBorders>
              <w:top w:val="single" w:sz="4" w:space="0" w:color="auto"/>
              <w:bottom w:val="single" w:sz="4" w:space="0" w:color="auto"/>
            </w:tcBorders>
          </w:tcPr>
          <w:p w:rsidR="007B7F49" w:rsidRDefault="00000000">
            <w:pPr>
              <w:pStyle w:val="IEEETableHeaderLeft-Justified"/>
            </w:pPr>
            <w:r>
              <w:t>Italic</w:t>
            </w:r>
          </w:p>
        </w:tc>
      </w:tr>
      <w:tr w:rsidR="007B7F49">
        <w:trPr>
          <w:jc w:val="center"/>
        </w:trPr>
        <w:tc>
          <w:tcPr>
            <w:tcW w:w="741" w:type="dxa"/>
            <w:tcBorders>
              <w:top w:val="single" w:sz="4" w:space="0" w:color="auto"/>
            </w:tcBorders>
          </w:tcPr>
          <w:p w:rsidR="007B7F49" w:rsidRDefault="00000000">
            <w:pPr>
              <w:pStyle w:val="IEEETableCell"/>
            </w:pPr>
            <w:r>
              <w:t>8</w:t>
            </w:r>
          </w:p>
        </w:tc>
        <w:tc>
          <w:tcPr>
            <w:tcW w:w="1559" w:type="dxa"/>
            <w:tcBorders>
              <w:top w:val="single" w:sz="4" w:space="0" w:color="auto"/>
            </w:tcBorders>
          </w:tcPr>
          <w:p w:rsidR="007B7F49" w:rsidRDefault="00000000">
            <w:pPr>
              <w:pStyle w:val="IEEETableCell"/>
            </w:pPr>
            <w:r>
              <w:t>table caption,</w:t>
            </w:r>
          </w:p>
          <w:p w:rsidR="007B7F49" w:rsidRDefault="00000000">
            <w:pPr>
              <w:pStyle w:val="IEEETableCell"/>
            </w:pPr>
            <w:r>
              <w:t>figure caption,</w:t>
            </w:r>
          </w:p>
          <w:p w:rsidR="007B7F49" w:rsidRDefault="00000000">
            <w:pPr>
              <w:pStyle w:val="IEEETableCell"/>
            </w:pPr>
            <w:r>
              <w:t>reference item</w:t>
            </w:r>
          </w:p>
        </w:tc>
        <w:tc>
          <w:tcPr>
            <w:tcW w:w="1080" w:type="dxa"/>
            <w:tcBorders>
              <w:top w:val="single" w:sz="4" w:space="0" w:color="auto"/>
            </w:tcBorders>
          </w:tcPr>
          <w:p w:rsidR="007B7F49" w:rsidRDefault="007B7F49">
            <w:pPr>
              <w:pStyle w:val="IEEETableCell"/>
            </w:pPr>
          </w:p>
        </w:tc>
        <w:tc>
          <w:tcPr>
            <w:tcW w:w="1605" w:type="dxa"/>
            <w:tcBorders>
              <w:top w:val="single" w:sz="4" w:space="0" w:color="auto"/>
            </w:tcBorders>
          </w:tcPr>
          <w:p w:rsidR="007B7F49" w:rsidRDefault="00000000">
            <w:pPr>
              <w:pStyle w:val="IEEETableCell"/>
            </w:pPr>
            <w:r>
              <w:t>reference item (partial)</w:t>
            </w:r>
          </w:p>
        </w:tc>
      </w:tr>
      <w:tr w:rsidR="007B7F49">
        <w:trPr>
          <w:jc w:val="center"/>
        </w:trPr>
        <w:tc>
          <w:tcPr>
            <w:tcW w:w="741" w:type="dxa"/>
          </w:tcPr>
          <w:p w:rsidR="007B7F49" w:rsidRDefault="00000000">
            <w:pPr>
              <w:pStyle w:val="IEEETableCell"/>
            </w:pPr>
            <w:r>
              <w:t>9</w:t>
            </w:r>
          </w:p>
        </w:tc>
        <w:tc>
          <w:tcPr>
            <w:tcW w:w="1559" w:type="dxa"/>
          </w:tcPr>
          <w:p w:rsidR="007B7F49" w:rsidRDefault="00000000">
            <w:pPr>
              <w:pStyle w:val="IEEETableCell"/>
            </w:pPr>
            <w:r>
              <w:t xml:space="preserve">author affiliation, Contact author email address, cell in a table </w:t>
            </w:r>
          </w:p>
        </w:tc>
        <w:tc>
          <w:tcPr>
            <w:tcW w:w="1080" w:type="dxa"/>
          </w:tcPr>
          <w:p w:rsidR="007B7F49" w:rsidRDefault="007B7F49">
            <w:pPr>
              <w:pStyle w:val="IEEETableCell"/>
            </w:pPr>
          </w:p>
        </w:tc>
        <w:tc>
          <w:tcPr>
            <w:tcW w:w="1605" w:type="dxa"/>
          </w:tcPr>
          <w:p w:rsidR="007B7F49" w:rsidRDefault="007B7F49">
            <w:pPr>
              <w:pStyle w:val="IEEETableCell"/>
            </w:pPr>
          </w:p>
        </w:tc>
      </w:tr>
      <w:tr w:rsidR="007B7F49">
        <w:trPr>
          <w:jc w:val="center"/>
        </w:trPr>
        <w:tc>
          <w:tcPr>
            <w:tcW w:w="741" w:type="dxa"/>
          </w:tcPr>
          <w:p w:rsidR="007B7F49" w:rsidRDefault="00000000">
            <w:pPr>
              <w:pStyle w:val="IEEETableCell"/>
            </w:pPr>
            <w:r>
              <w:t>10</w:t>
            </w:r>
          </w:p>
        </w:tc>
        <w:tc>
          <w:tcPr>
            <w:tcW w:w="1559" w:type="dxa"/>
          </w:tcPr>
          <w:p w:rsidR="007B7F49" w:rsidRDefault="00000000">
            <w:pPr>
              <w:pStyle w:val="IEEETableCell"/>
            </w:pPr>
            <w:r>
              <w:t>paragraph</w:t>
            </w:r>
          </w:p>
        </w:tc>
        <w:tc>
          <w:tcPr>
            <w:tcW w:w="1080" w:type="dxa"/>
          </w:tcPr>
          <w:p w:rsidR="007B7F49" w:rsidRDefault="00000000">
            <w:pPr>
              <w:pStyle w:val="IEEETableCell"/>
            </w:pPr>
            <w:r>
              <w:t>level-1 heading</w:t>
            </w:r>
          </w:p>
        </w:tc>
        <w:tc>
          <w:tcPr>
            <w:tcW w:w="1605" w:type="dxa"/>
          </w:tcPr>
          <w:p w:rsidR="007B7F49" w:rsidRDefault="00000000">
            <w:pPr>
              <w:pStyle w:val="IEEETableCell"/>
            </w:pPr>
            <w:r>
              <w:t>level-2 heading,</w:t>
            </w:r>
          </w:p>
          <w:p w:rsidR="007B7F49" w:rsidRDefault="00000000">
            <w:pPr>
              <w:pStyle w:val="IEEETableCell"/>
            </w:pPr>
            <w:r>
              <w:t>level-3 heading</w:t>
            </w:r>
          </w:p>
        </w:tc>
      </w:tr>
      <w:tr w:rsidR="007B7F49">
        <w:trPr>
          <w:jc w:val="center"/>
        </w:trPr>
        <w:tc>
          <w:tcPr>
            <w:tcW w:w="741" w:type="dxa"/>
          </w:tcPr>
          <w:p w:rsidR="007B7F49" w:rsidRDefault="00000000">
            <w:pPr>
              <w:pStyle w:val="IEEETableCell"/>
            </w:pPr>
            <w:r>
              <w:t>14</w:t>
            </w:r>
          </w:p>
        </w:tc>
        <w:tc>
          <w:tcPr>
            <w:tcW w:w="1559" w:type="dxa"/>
          </w:tcPr>
          <w:p w:rsidR="007B7F49" w:rsidRDefault="007B7F49">
            <w:pPr>
              <w:pStyle w:val="IEEETableCell"/>
            </w:pPr>
          </w:p>
        </w:tc>
        <w:tc>
          <w:tcPr>
            <w:tcW w:w="1080" w:type="dxa"/>
          </w:tcPr>
          <w:p w:rsidR="007B7F49" w:rsidRDefault="00000000">
            <w:pPr>
              <w:pStyle w:val="IEEETableCell"/>
            </w:pPr>
            <w:r>
              <w:t>title</w:t>
            </w:r>
          </w:p>
        </w:tc>
        <w:tc>
          <w:tcPr>
            <w:tcW w:w="1605" w:type="dxa"/>
          </w:tcPr>
          <w:p w:rsidR="007B7F49" w:rsidRDefault="007B7F49">
            <w:pPr>
              <w:pStyle w:val="IEEETableCell"/>
            </w:pPr>
          </w:p>
        </w:tc>
      </w:tr>
    </w:tbl>
    <w:p w:rsidR="007B7F49" w:rsidRDefault="007B7F49">
      <w:pPr>
        <w:rPr>
          <w:sz w:val="20"/>
          <w:szCs w:val="20"/>
        </w:rPr>
      </w:pPr>
    </w:p>
    <w:p w:rsidR="007B7F49" w:rsidRDefault="00000000">
      <w:pPr>
        <w:widowControl w:val="0"/>
        <w:numPr>
          <w:ilvl w:val="0"/>
          <w:numId w:val="4"/>
        </w:numPr>
        <w:tabs>
          <w:tab w:val="clear" w:pos="4507"/>
          <w:tab w:val="clear" w:pos="9720"/>
        </w:tabs>
        <w:autoSpaceDE w:val="0"/>
        <w:autoSpaceDN w:val="0"/>
        <w:adjustRightInd w:val="0"/>
        <w:textAlignment w:val="auto"/>
        <w:rPr>
          <w:sz w:val="20"/>
          <w:szCs w:val="20"/>
        </w:rPr>
      </w:pPr>
      <w:r>
        <w:rPr>
          <w:sz w:val="20"/>
          <w:szCs w:val="20"/>
        </w:rPr>
        <w:t>Use the table function, not spreadsheets, to make tables. Do not embed tables as graphic files, document objects, or pictures.</w:t>
      </w:r>
    </w:p>
    <w:p w:rsidR="007B7F49" w:rsidRDefault="00000000">
      <w:pPr>
        <w:widowControl w:val="0"/>
        <w:numPr>
          <w:ilvl w:val="0"/>
          <w:numId w:val="4"/>
        </w:numPr>
        <w:tabs>
          <w:tab w:val="clear" w:pos="4507"/>
          <w:tab w:val="clear" w:pos="9720"/>
        </w:tabs>
        <w:autoSpaceDE w:val="0"/>
        <w:autoSpaceDN w:val="0"/>
        <w:adjustRightInd w:val="0"/>
        <w:ind w:left="357" w:hanging="357"/>
        <w:textAlignment w:val="auto"/>
        <w:rPr>
          <w:sz w:val="20"/>
          <w:szCs w:val="20"/>
        </w:rPr>
      </w:pPr>
      <w:r>
        <w:rPr>
          <w:sz w:val="20"/>
          <w:szCs w:val="20"/>
        </w:rPr>
        <w:t>All tables are to be numbered using Arabic numerals, e.g. Table 1.</w:t>
      </w:r>
    </w:p>
    <w:p w:rsidR="007B7F49" w:rsidRDefault="00000000">
      <w:pPr>
        <w:numPr>
          <w:ilvl w:val="0"/>
          <w:numId w:val="4"/>
        </w:numPr>
        <w:shd w:val="clear" w:color="auto" w:fill="FCFCFC"/>
        <w:tabs>
          <w:tab w:val="clear" w:pos="4507"/>
          <w:tab w:val="clear" w:pos="9720"/>
        </w:tabs>
        <w:ind w:left="357" w:hanging="357"/>
        <w:textAlignment w:val="auto"/>
        <w:rPr>
          <w:sz w:val="20"/>
          <w:szCs w:val="20"/>
        </w:rPr>
      </w:pPr>
      <w:r>
        <w:rPr>
          <w:sz w:val="20"/>
          <w:szCs w:val="20"/>
        </w:rPr>
        <w:t>Tables should always be cited in text in consecutive numerical order.</w:t>
      </w:r>
    </w:p>
    <w:p w:rsidR="007B7F49" w:rsidRDefault="00000000">
      <w:pPr>
        <w:numPr>
          <w:ilvl w:val="0"/>
          <w:numId w:val="4"/>
        </w:numPr>
        <w:shd w:val="clear" w:color="auto" w:fill="FCFCFC"/>
        <w:tabs>
          <w:tab w:val="clear" w:pos="4507"/>
          <w:tab w:val="clear" w:pos="9720"/>
        </w:tabs>
        <w:ind w:left="357" w:hanging="357"/>
        <w:textAlignment w:val="auto"/>
        <w:rPr>
          <w:sz w:val="20"/>
          <w:szCs w:val="20"/>
        </w:rPr>
      </w:pPr>
      <w:r>
        <w:rPr>
          <w:sz w:val="20"/>
          <w:szCs w:val="20"/>
        </w:rPr>
        <w:t>For each table, please supply a table caption (title) explaining the components of the table.</w:t>
      </w:r>
      <w:r>
        <w:rPr>
          <w:rFonts w:eastAsia="等线" w:hint="eastAsia"/>
          <w:sz w:val="20"/>
          <w:szCs w:val="20"/>
          <w:lang w:eastAsia="zh-CN"/>
        </w:rPr>
        <w:t xml:space="preserve"> </w:t>
      </w:r>
      <w:r>
        <w:rPr>
          <w:sz w:val="20"/>
          <w:szCs w:val="20"/>
        </w:rPr>
        <w:t>Abbreviations that are used only in a table should be defined in the footnotes to that table.</w:t>
      </w:r>
    </w:p>
    <w:p w:rsidR="007B7F49" w:rsidRDefault="00000000">
      <w:pPr>
        <w:numPr>
          <w:ilvl w:val="0"/>
          <w:numId w:val="4"/>
        </w:numPr>
        <w:shd w:val="clear" w:color="auto" w:fill="FCFCFC"/>
        <w:tabs>
          <w:tab w:val="clear" w:pos="4507"/>
          <w:tab w:val="clear" w:pos="9720"/>
        </w:tabs>
        <w:ind w:left="357" w:hanging="357"/>
        <w:textAlignment w:val="auto"/>
        <w:rPr>
          <w:sz w:val="20"/>
          <w:szCs w:val="20"/>
        </w:rPr>
      </w:pPr>
      <w:r>
        <w:rPr>
          <w:sz w:val="20"/>
          <w:szCs w:val="20"/>
        </w:rPr>
        <w:t>Identify any previously published material by giving the original source in the form of a reference at the end of the table caption.</w:t>
      </w:r>
    </w:p>
    <w:p w:rsidR="007B7F49" w:rsidRDefault="00000000">
      <w:pPr>
        <w:numPr>
          <w:ilvl w:val="0"/>
          <w:numId w:val="4"/>
        </w:numPr>
        <w:shd w:val="clear" w:color="auto" w:fill="FCFCFC"/>
        <w:tabs>
          <w:tab w:val="clear" w:pos="4507"/>
          <w:tab w:val="clear" w:pos="9720"/>
        </w:tabs>
        <w:ind w:left="357" w:hanging="357"/>
        <w:textAlignment w:val="auto"/>
        <w:rPr>
          <w:sz w:val="20"/>
          <w:szCs w:val="20"/>
        </w:rPr>
      </w:pPr>
      <w:r>
        <w:rPr>
          <w:sz w:val="20"/>
          <w:szCs w:val="20"/>
        </w:rPr>
        <w:t>Footnotes to tables should be indicated by superscript lower-case letters (or asterisks for significance values and other statistical data) and included beneath the table body.</w:t>
      </w:r>
    </w:p>
    <w:p w:rsidR="007B7F49" w:rsidRDefault="007B7F49">
      <w:pPr>
        <w:rPr>
          <w:sz w:val="20"/>
          <w:lang w:val="en-GB"/>
        </w:rPr>
      </w:pPr>
    </w:p>
    <w:p w:rsidR="007B7F49" w:rsidRDefault="00000000">
      <w:pPr>
        <w:pStyle w:val="IEEEHeading2"/>
        <w:numPr>
          <w:ilvl w:val="1"/>
          <w:numId w:val="2"/>
        </w:numPr>
        <w:rPr>
          <w:lang w:val="en-GB"/>
        </w:rPr>
      </w:pPr>
      <w:r>
        <w:rPr>
          <w:lang w:val="en-GB"/>
        </w:rPr>
        <w:t>Formulae requirements</w:t>
      </w:r>
    </w:p>
    <w:p w:rsidR="007B7F49" w:rsidRDefault="00000000">
      <w:pPr>
        <w:widowControl w:val="0"/>
        <w:numPr>
          <w:ilvl w:val="0"/>
          <w:numId w:val="5"/>
        </w:numPr>
        <w:tabs>
          <w:tab w:val="clear" w:pos="4507"/>
          <w:tab w:val="clear" w:pos="9720"/>
        </w:tabs>
        <w:autoSpaceDE w:val="0"/>
        <w:autoSpaceDN w:val="0"/>
        <w:adjustRightInd w:val="0"/>
        <w:textAlignment w:val="auto"/>
        <w:rPr>
          <w:sz w:val="20"/>
          <w:szCs w:val="20"/>
        </w:rPr>
      </w:pPr>
      <w:r>
        <w:rPr>
          <w:sz w:val="20"/>
          <w:szCs w:val="20"/>
        </w:rPr>
        <w:t xml:space="preserve">Use the equation editor or </w:t>
      </w:r>
      <w:proofErr w:type="spellStart"/>
      <w:r>
        <w:rPr>
          <w:sz w:val="20"/>
          <w:szCs w:val="20"/>
        </w:rPr>
        <w:t>MathType</w:t>
      </w:r>
      <w:proofErr w:type="spellEnd"/>
      <w:r>
        <w:rPr>
          <w:sz w:val="20"/>
          <w:szCs w:val="20"/>
        </w:rPr>
        <w:t xml:space="preserve"> for equations.</w:t>
      </w:r>
    </w:p>
    <w:p w:rsidR="007B7F49" w:rsidRDefault="00000000">
      <w:pPr>
        <w:widowControl w:val="0"/>
        <w:numPr>
          <w:ilvl w:val="0"/>
          <w:numId w:val="5"/>
        </w:numPr>
        <w:tabs>
          <w:tab w:val="clear" w:pos="4507"/>
          <w:tab w:val="clear" w:pos="9720"/>
        </w:tabs>
        <w:autoSpaceDE w:val="0"/>
        <w:autoSpaceDN w:val="0"/>
        <w:adjustRightInd w:val="0"/>
        <w:textAlignment w:val="auto"/>
        <w:rPr>
          <w:sz w:val="20"/>
          <w:szCs w:val="20"/>
        </w:rPr>
      </w:pPr>
      <w:r>
        <w:rPr>
          <w:sz w:val="20"/>
          <w:szCs w:val="20"/>
        </w:rPr>
        <w:t xml:space="preserve">It is extremely important that all mathematical symbols and letters used are identified and listed and that the required style of appearance of such symbols is clearly indicated, e.g., bold face, italics, script, outline, etc. In principle, variables (including variables in subscripts and superscripts) are to be presented in italics. </w:t>
      </w:r>
    </w:p>
    <w:p w:rsidR="007B7F49" w:rsidRDefault="00000000">
      <w:pPr>
        <w:widowControl w:val="0"/>
        <w:numPr>
          <w:ilvl w:val="0"/>
          <w:numId w:val="5"/>
        </w:numPr>
        <w:tabs>
          <w:tab w:val="clear" w:pos="4507"/>
          <w:tab w:val="clear" w:pos="9720"/>
        </w:tabs>
        <w:autoSpaceDE w:val="0"/>
        <w:autoSpaceDN w:val="0"/>
        <w:adjustRightInd w:val="0"/>
        <w:textAlignment w:val="auto"/>
        <w:rPr>
          <w:sz w:val="20"/>
          <w:szCs w:val="20"/>
        </w:rPr>
      </w:pPr>
      <w:r>
        <w:rPr>
          <w:sz w:val="20"/>
          <w:szCs w:val="20"/>
        </w:rPr>
        <w:t xml:space="preserve">Subscripts and superscripts should be set off clearly. </w:t>
      </w:r>
    </w:p>
    <w:p w:rsidR="007B7F49" w:rsidRDefault="00000000">
      <w:pPr>
        <w:widowControl w:val="0"/>
        <w:numPr>
          <w:ilvl w:val="0"/>
          <w:numId w:val="5"/>
        </w:numPr>
        <w:tabs>
          <w:tab w:val="clear" w:pos="4507"/>
          <w:tab w:val="clear" w:pos="9720"/>
        </w:tabs>
        <w:autoSpaceDE w:val="0"/>
        <w:autoSpaceDN w:val="0"/>
        <w:adjustRightInd w:val="0"/>
        <w:textAlignment w:val="auto"/>
        <w:rPr>
          <w:sz w:val="20"/>
          <w:szCs w:val="20"/>
        </w:rPr>
      </w:pPr>
      <w:r>
        <w:rPr>
          <w:sz w:val="20"/>
          <w:szCs w:val="20"/>
        </w:rPr>
        <w:t xml:space="preserve">The words Equation or Equations should appear in full at the beginning of sentences but be abbreviated to Eq. or </w:t>
      </w:r>
      <w:proofErr w:type="spellStart"/>
      <w:r>
        <w:rPr>
          <w:sz w:val="20"/>
          <w:szCs w:val="20"/>
        </w:rPr>
        <w:t>Eqs</w:t>
      </w:r>
      <w:proofErr w:type="spellEnd"/>
      <w:r>
        <w:rPr>
          <w:sz w:val="20"/>
          <w:szCs w:val="20"/>
        </w:rPr>
        <w:t xml:space="preserve">. elsewhere. </w:t>
      </w:r>
    </w:p>
    <w:p w:rsidR="007B7F49" w:rsidRDefault="00000000">
      <w:pPr>
        <w:pStyle w:val="aa"/>
        <w:numPr>
          <w:ilvl w:val="0"/>
          <w:numId w:val="5"/>
        </w:numPr>
        <w:ind w:firstLineChars="0"/>
        <w:rPr>
          <w:sz w:val="20"/>
          <w:szCs w:val="20"/>
        </w:rPr>
      </w:pPr>
      <w:r>
        <w:rPr>
          <w:sz w:val="20"/>
          <w:szCs w:val="20"/>
        </w:rPr>
        <w:t>A nomenclature can be included (with the use of = signs) after the abstract if there is a significant number of symbols in the paper.</w:t>
      </w:r>
    </w:p>
    <w:p w:rsidR="007B7F49" w:rsidRDefault="007B7F49">
      <w:pPr>
        <w:widowControl w:val="0"/>
        <w:tabs>
          <w:tab w:val="clear" w:pos="4507"/>
          <w:tab w:val="clear" w:pos="9720"/>
        </w:tabs>
        <w:autoSpaceDE w:val="0"/>
        <w:autoSpaceDN w:val="0"/>
        <w:adjustRightInd w:val="0"/>
        <w:textAlignment w:val="auto"/>
        <w:rPr>
          <w:sz w:val="20"/>
          <w:szCs w:val="20"/>
        </w:rPr>
      </w:pPr>
    </w:p>
    <w:p w:rsidR="007B7F49" w:rsidRDefault="00000000">
      <w:pPr>
        <w:pStyle w:val="IEEEHeading2"/>
        <w:numPr>
          <w:ilvl w:val="1"/>
          <w:numId w:val="2"/>
        </w:numPr>
        <w:rPr>
          <w:lang w:val="en-GB"/>
        </w:rPr>
      </w:pPr>
      <w:r>
        <w:rPr>
          <w:lang w:val="en-GB"/>
        </w:rPr>
        <w:t xml:space="preserve">Abbreviations requirements </w:t>
      </w:r>
    </w:p>
    <w:p w:rsidR="007B7F49" w:rsidRDefault="00000000">
      <w:pPr>
        <w:ind w:firstLine="284"/>
        <w:rPr>
          <w:sz w:val="20"/>
        </w:rPr>
      </w:pPr>
      <w:r>
        <w:rPr>
          <w:sz w:val="20"/>
        </w:rPr>
        <w:t>Abbreviations should be used sparingly and consistently. When the title is too long and abbreviation is to be used, only the most common abbreviations such as ORC and CCHP can be used. The complete term should be given separately when they first appear in the abstract and the main text.</w:t>
      </w:r>
    </w:p>
    <w:p w:rsidR="007B7F49" w:rsidRDefault="007B7F49">
      <w:pPr>
        <w:pStyle w:val="ACTSreference"/>
        <w:ind w:left="0" w:firstLine="0"/>
        <w:rPr>
          <w:color w:val="FF0000"/>
          <w:sz w:val="22"/>
        </w:rPr>
      </w:pPr>
    </w:p>
    <w:p w:rsidR="007B7F49" w:rsidRDefault="00000000">
      <w:pPr>
        <w:pStyle w:val="IEEEHeading2"/>
        <w:numPr>
          <w:ilvl w:val="1"/>
          <w:numId w:val="2"/>
        </w:numPr>
        <w:rPr>
          <w:lang w:val="en-GB"/>
        </w:rPr>
      </w:pPr>
      <w:r>
        <w:rPr>
          <w:lang w:val="en-GB"/>
        </w:rPr>
        <w:t>Page Numbers, Headers and Footers</w:t>
      </w:r>
    </w:p>
    <w:p w:rsidR="007B7F49" w:rsidRDefault="00000000">
      <w:pPr>
        <w:ind w:firstLine="284"/>
        <w:rPr>
          <w:sz w:val="20"/>
        </w:rPr>
      </w:pPr>
      <w:r>
        <w:rPr>
          <w:sz w:val="20"/>
        </w:rPr>
        <w:t>Page numbers and footers must not be used. Please leave the header unchanged.</w:t>
      </w:r>
    </w:p>
    <w:p w:rsidR="007B7F49" w:rsidRDefault="007B7F49">
      <w:pPr>
        <w:ind w:firstLine="284"/>
        <w:rPr>
          <w:sz w:val="20"/>
        </w:rPr>
      </w:pPr>
    </w:p>
    <w:p w:rsidR="007B7F49" w:rsidRDefault="00000000">
      <w:pPr>
        <w:rPr>
          <w:b/>
          <w:spacing w:val="0"/>
          <w:sz w:val="20"/>
          <w:szCs w:val="20"/>
          <w:lang w:eastAsia="ja-JP"/>
        </w:rPr>
      </w:pPr>
      <w:r>
        <w:rPr>
          <w:b/>
          <w:sz w:val="20"/>
        </w:rPr>
        <w:t>3 Results</w:t>
      </w:r>
    </w:p>
    <w:p w:rsidR="007B7F49" w:rsidRDefault="00000000">
      <w:pPr>
        <w:ind w:firstLine="284"/>
        <w:rPr>
          <w:rFonts w:ascii="Times" w:eastAsia="平成明朝" w:hAnsi="Times"/>
          <w:sz w:val="20"/>
        </w:rPr>
      </w:pPr>
      <w:r>
        <w:rPr>
          <w:sz w:val="20"/>
        </w:rPr>
        <w:t xml:space="preserve">Manuscripts must be submitted in the electronic form both in word file and PDF format. Please make sure that all symbols and equations will be correctly displayed in the PDF version. </w:t>
      </w:r>
    </w:p>
    <w:p w:rsidR="007B7F49" w:rsidRDefault="007B7F49">
      <w:pPr>
        <w:rPr>
          <w:rFonts w:eastAsia="宋体"/>
          <w:b/>
          <w:bCs/>
          <w:color w:val="000000"/>
          <w:sz w:val="20"/>
          <w:lang w:eastAsia="zh-CN"/>
        </w:rPr>
      </w:pPr>
    </w:p>
    <w:p w:rsidR="007B7F49" w:rsidRDefault="00000000">
      <w:pPr>
        <w:rPr>
          <w:b/>
          <w:bCs/>
          <w:color w:val="000000"/>
          <w:sz w:val="20"/>
          <w:lang w:eastAsia="ja-JP"/>
        </w:rPr>
      </w:pPr>
      <w:r>
        <w:rPr>
          <w:b/>
          <w:bCs/>
          <w:color w:val="000000"/>
          <w:sz w:val="20"/>
        </w:rPr>
        <w:t>4 Concluding remarks</w:t>
      </w:r>
    </w:p>
    <w:p w:rsidR="007B7F49" w:rsidRDefault="00000000">
      <w:pPr>
        <w:ind w:firstLine="284"/>
        <w:rPr>
          <w:color w:val="FF0000"/>
          <w:sz w:val="20"/>
        </w:rPr>
      </w:pPr>
      <w:r>
        <w:rPr>
          <w:sz w:val="20"/>
        </w:rPr>
        <w:t xml:space="preserve">Due date of the two-page abstract submission is </w:t>
      </w:r>
      <w:r>
        <w:rPr>
          <w:color w:val="FF0000"/>
          <w:sz w:val="20"/>
        </w:rPr>
        <w:t>3</w:t>
      </w:r>
      <w:r>
        <w:rPr>
          <w:rFonts w:eastAsia="宋体" w:hint="eastAsia"/>
          <w:color w:val="FF0000"/>
          <w:sz w:val="20"/>
          <w:lang w:eastAsia="zh-CN"/>
        </w:rPr>
        <w:t>1</w:t>
      </w:r>
      <w:r>
        <w:rPr>
          <w:color w:val="FF0000"/>
          <w:sz w:val="20"/>
        </w:rPr>
        <w:t xml:space="preserve"> </w:t>
      </w:r>
      <w:r>
        <w:rPr>
          <w:rFonts w:eastAsia="宋体" w:hint="eastAsia"/>
          <w:color w:val="FF0000"/>
          <w:sz w:val="20"/>
          <w:lang w:eastAsia="zh-CN"/>
        </w:rPr>
        <w:t xml:space="preserve">March </w:t>
      </w:r>
      <w:r>
        <w:rPr>
          <w:color w:val="FF0000"/>
          <w:sz w:val="20"/>
        </w:rPr>
        <w:t>202</w:t>
      </w:r>
      <w:r>
        <w:rPr>
          <w:rFonts w:eastAsia="宋体" w:hint="eastAsia"/>
          <w:color w:val="FF0000"/>
          <w:sz w:val="20"/>
          <w:lang w:eastAsia="zh-CN"/>
        </w:rPr>
        <w:t>5</w:t>
      </w:r>
      <w:r>
        <w:rPr>
          <w:color w:val="FF0000"/>
          <w:sz w:val="20"/>
        </w:rPr>
        <w:t>.</w:t>
      </w:r>
    </w:p>
    <w:p w:rsidR="007B7F49" w:rsidRDefault="007B7F49">
      <w:pPr>
        <w:ind w:firstLine="284"/>
        <w:rPr>
          <w:color w:val="FF0000"/>
          <w:sz w:val="20"/>
        </w:rPr>
      </w:pPr>
    </w:p>
    <w:p w:rsidR="007B7F49" w:rsidRDefault="00000000">
      <w:pPr>
        <w:pStyle w:val="IEEEFigure"/>
      </w:pPr>
      <w:r>
        <w:rPr>
          <w:noProof/>
          <w:lang w:val="en-US" w:eastAsia="en-US"/>
        </w:rPr>
        <w:drawing>
          <wp:inline distT="0" distB="0" distL="0" distR="0">
            <wp:extent cx="2694305" cy="1955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01447" cy="1960896"/>
                    </a:xfrm>
                    <a:prstGeom prst="rect">
                      <a:avLst/>
                    </a:prstGeom>
                    <a:solidFill>
                      <a:srgbClr val="FFFFFF"/>
                    </a:solidFill>
                    <a:ln>
                      <a:noFill/>
                    </a:ln>
                  </pic:spPr>
                </pic:pic>
              </a:graphicData>
            </a:graphic>
          </wp:inline>
        </w:drawing>
      </w:r>
    </w:p>
    <w:p w:rsidR="007B7F49" w:rsidRDefault="00000000">
      <w:pPr>
        <w:pStyle w:val="IEEEFigureCaptionMulti-Lines"/>
      </w:pPr>
      <w:r>
        <w:t xml:space="preserve">Fig. </w:t>
      </w:r>
      <w:r>
        <w:fldChar w:fldCharType="begin"/>
      </w:r>
      <w:r>
        <w:instrText xml:space="preserve"> SEQ "Fig." \*Arabic </w:instrText>
      </w:r>
      <w:r>
        <w:fldChar w:fldCharType="separate"/>
      </w:r>
      <w:r>
        <w:t>1</w:t>
      </w:r>
      <w:r>
        <w:fldChar w:fldCharType="end"/>
      </w:r>
      <w:r>
        <w:t xml:space="preserve">  A sample line graph using </w:t>
      </w:r>
      <w:proofErr w:type="spellStart"/>
      <w:r>
        <w:t>colors</w:t>
      </w:r>
      <w:proofErr w:type="spellEnd"/>
      <w:r>
        <w:t xml:space="preserve"> which contrast well both on screen and on a black-and-white hardcopy</w:t>
      </w:r>
    </w:p>
    <w:p w:rsidR="007B7F49" w:rsidRDefault="007B7F49">
      <w:pPr>
        <w:ind w:firstLine="284"/>
        <w:rPr>
          <w:sz w:val="20"/>
        </w:rPr>
      </w:pPr>
    </w:p>
    <w:p w:rsidR="007B7F49" w:rsidRDefault="00000000">
      <w:pPr>
        <w:spacing w:beforeLines="100" w:before="240"/>
        <w:rPr>
          <w:rFonts w:eastAsia="Malgun Gothic"/>
          <w:b/>
          <w:bCs/>
          <w:color w:val="000000"/>
          <w:spacing w:val="0"/>
          <w:sz w:val="20"/>
          <w:szCs w:val="20"/>
          <w:lang w:eastAsia="ko-KR"/>
        </w:rPr>
      </w:pPr>
      <w:r>
        <w:rPr>
          <w:b/>
          <w:bCs/>
          <w:color w:val="000000"/>
          <w:sz w:val="20"/>
        </w:rPr>
        <w:t>References</w:t>
      </w:r>
    </w:p>
    <w:p w:rsidR="007B7F49" w:rsidRDefault="00000000">
      <w:pPr>
        <w:pStyle w:val="ACTSreference"/>
        <w:rPr>
          <w:rFonts w:eastAsia="Malgun Gothic"/>
          <w:color w:val="000000"/>
          <w:sz w:val="16"/>
          <w:szCs w:val="20"/>
          <w:lang w:eastAsia="ko-KR"/>
        </w:rPr>
      </w:pPr>
      <w:r>
        <w:rPr>
          <w:sz w:val="16"/>
          <w:szCs w:val="20"/>
        </w:rPr>
        <w:t>[1]</w:t>
      </w:r>
      <w:r>
        <w:rPr>
          <w:rFonts w:eastAsia="Malgun Gothic"/>
          <w:color w:val="000000"/>
          <w:sz w:val="16"/>
          <w:szCs w:val="20"/>
          <w:lang w:eastAsia="ko-KR"/>
        </w:rPr>
        <w:tab/>
        <w:t xml:space="preserve">Gamelin FX, Baquet G, </w:t>
      </w:r>
      <w:proofErr w:type="spellStart"/>
      <w:r>
        <w:rPr>
          <w:rFonts w:eastAsia="Malgun Gothic"/>
          <w:color w:val="000000"/>
          <w:sz w:val="16"/>
          <w:szCs w:val="20"/>
          <w:lang w:eastAsia="ko-KR"/>
        </w:rPr>
        <w:t>Berthoin</w:t>
      </w:r>
      <w:proofErr w:type="spellEnd"/>
      <w:r>
        <w:rPr>
          <w:rFonts w:eastAsia="Malgun Gothic"/>
          <w:color w:val="000000"/>
          <w:sz w:val="16"/>
          <w:szCs w:val="20"/>
          <w:lang w:eastAsia="ko-KR"/>
        </w:rPr>
        <w:t xml:space="preserve"> S (list three authors) et al (2009</w:t>
      </w:r>
      <w:proofErr w:type="gramStart"/>
      <w:r>
        <w:rPr>
          <w:rFonts w:eastAsia="Malgun Gothic"/>
          <w:color w:val="000000"/>
          <w:sz w:val="16"/>
          <w:szCs w:val="20"/>
          <w:lang w:eastAsia="ko-KR"/>
        </w:rPr>
        <w:t>) ,</w:t>
      </w:r>
      <w:proofErr w:type="gramEnd"/>
      <w:r>
        <w:rPr>
          <w:rFonts w:eastAsia="Malgun Gothic"/>
          <w:color w:val="000000"/>
          <w:sz w:val="16"/>
          <w:szCs w:val="20"/>
          <w:lang w:eastAsia="ko-KR"/>
        </w:rPr>
        <w:t>(</w:t>
      </w:r>
      <w:r>
        <w:t xml:space="preserve">Without </w:t>
      </w:r>
      <w:r>
        <w:rPr>
          <w:rFonts w:eastAsia="Malgun Gothic"/>
          <w:color w:val="000000"/>
          <w:sz w:val="16"/>
          <w:szCs w:val="20"/>
          <w:lang w:eastAsia="ko-KR"/>
        </w:rPr>
        <w:t xml:space="preserve">article title) </w:t>
      </w:r>
      <w:proofErr w:type="spellStart"/>
      <w:r>
        <w:rPr>
          <w:rFonts w:eastAsia="Malgun Gothic"/>
          <w:color w:val="000000"/>
          <w:sz w:val="16"/>
          <w:szCs w:val="20"/>
          <w:lang w:eastAsia="ko-KR"/>
        </w:rPr>
        <w:t>Eur</w:t>
      </w:r>
      <w:proofErr w:type="spellEnd"/>
      <w:r>
        <w:rPr>
          <w:rFonts w:eastAsia="Malgun Gothic"/>
          <w:color w:val="000000"/>
          <w:sz w:val="16"/>
          <w:szCs w:val="20"/>
          <w:lang w:eastAsia="ko-KR"/>
        </w:rPr>
        <w:t xml:space="preserve"> J Appl </w:t>
      </w:r>
      <w:proofErr w:type="spellStart"/>
      <w:r>
        <w:rPr>
          <w:rFonts w:eastAsia="Malgun Gothic"/>
          <w:color w:val="000000"/>
          <w:sz w:val="16"/>
          <w:szCs w:val="20"/>
          <w:lang w:eastAsia="ko-KR"/>
        </w:rPr>
        <w:t>Physiol</w:t>
      </w:r>
      <w:proofErr w:type="spellEnd"/>
      <w:r>
        <w:rPr>
          <w:rFonts w:eastAsia="Malgun Gothic"/>
          <w:color w:val="000000"/>
          <w:sz w:val="16"/>
          <w:szCs w:val="20"/>
          <w:lang w:eastAsia="ko-KR"/>
        </w:rPr>
        <w:t xml:space="preserve"> 105:731-738. (for journal paper references)</w:t>
      </w:r>
    </w:p>
    <w:p w:rsidR="007B7F49" w:rsidRDefault="00000000">
      <w:pPr>
        <w:pStyle w:val="ACTSreference"/>
        <w:rPr>
          <w:rFonts w:eastAsia="Malgun Gothic"/>
          <w:color w:val="000000"/>
          <w:sz w:val="16"/>
          <w:szCs w:val="20"/>
          <w:lang w:eastAsia="ko-KR"/>
        </w:rPr>
      </w:pPr>
      <w:r>
        <w:rPr>
          <w:sz w:val="16"/>
          <w:szCs w:val="20"/>
        </w:rPr>
        <w:t>[2]</w:t>
      </w:r>
      <w:r>
        <w:rPr>
          <w:rFonts w:eastAsia="Malgun Gothic"/>
          <w:color w:val="000000"/>
          <w:sz w:val="16"/>
          <w:szCs w:val="20"/>
          <w:lang w:eastAsia="ko-KR"/>
        </w:rPr>
        <w:tab/>
        <w:t>South J, Blass B (2001) The future of modern genomics. Blackwell, London (for monograph references)</w:t>
      </w:r>
    </w:p>
    <w:p w:rsidR="007B7F49" w:rsidRDefault="00000000">
      <w:pPr>
        <w:pStyle w:val="ACTSreference"/>
        <w:rPr>
          <w:rFonts w:eastAsia="Malgun Gothic"/>
          <w:color w:val="000000"/>
          <w:sz w:val="16"/>
          <w:szCs w:val="20"/>
          <w:lang w:eastAsia="ko-KR"/>
        </w:rPr>
      </w:pPr>
      <w:r>
        <w:rPr>
          <w:sz w:val="16"/>
          <w:szCs w:val="20"/>
        </w:rPr>
        <w:t>[3]</w:t>
      </w:r>
      <w:r>
        <w:rPr>
          <w:rFonts w:eastAsia="Malgun Gothic"/>
          <w:color w:val="000000"/>
          <w:sz w:val="16"/>
          <w:szCs w:val="20"/>
          <w:lang w:eastAsia="ko-KR"/>
        </w:rPr>
        <w:tab/>
        <w:t xml:space="preserve">Brown B, Aaron M (2001) The politics of nature. In: Smith J (ed) The rise of modern genomics, 3rd </w:t>
      </w:r>
      <w:proofErr w:type="spellStart"/>
      <w:r>
        <w:rPr>
          <w:rFonts w:eastAsia="Malgun Gothic"/>
          <w:color w:val="000000"/>
          <w:sz w:val="16"/>
          <w:szCs w:val="20"/>
          <w:lang w:eastAsia="ko-KR"/>
        </w:rPr>
        <w:t>edn</w:t>
      </w:r>
      <w:proofErr w:type="spellEnd"/>
      <w:r>
        <w:rPr>
          <w:rFonts w:eastAsia="Malgun Gothic"/>
          <w:color w:val="000000"/>
          <w:sz w:val="16"/>
          <w:szCs w:val="20"/>
          <w:lang w:eastAsia="ko-KR"/>
        </w:rPr>
        <w:t>. Wiley, New York, pp 230-257 (for a chapter reference in a book)</w:t>
      </w:r>
    </w:p>
    <w:p w:rsidR="007B7F49" w:rsidRDefault="00000000">
      <w:pPr>
        <w:pStyle w:val="ACTSreference"/>
        <w:rPr>
          <w:rFonts w:eastAsia="Malgun Gothic"/>
          <w:color w:val="000000"/>
          <w:sz w:val="16"/>
          <w:szCs w:val="20"/>
          <w:lang w:eastAsia="ko-KR"/>
        </w:rPr>
      </w:pPr>
      <w:r>
        <w:rPr>
          <w:sz w:val="16"/>
          <w:szCs w:val="20"/>
        </w:rPr>
        <w:t>[4]</w:t>
      </w:r>
      <w:r>
        <w:rPr>
          <w:rFonts w:eastAsia="Malgun Gothic"/>
          <w:color w:val="000000"/>
          <w:sz w:val="16"/>
          <w:szCs w:val="20"/>
          <w:lang w:eastAsia="ko-KR"/>
        </w:rPr>
        <w:tab/>
        <w:t>Trent JW (1975) Experimental acute renal failure. Dissertation, University of California (for dissertation references)</w:t>
      </w:r>
    </w:p>
    <w:p w:rsidR="007B7F49" w:rsidRDefault="00000000">
      <w:pPr>
        <w:pStyle w:val="ACTSreference"/>
        <w:rPr>
          <w:rFonts w:eastAsia="Malgun Gothic"/>
          <w:color w:val="000000"/>
          <w:sz w:val="16"/>
          <w:szCs w:val="20"/>
          <w:lang w:eastAsia="ko-KR"/>
        </w:rPr>
      </w:pPr>
      <w:r>
        <w:rPr>
          <w:sz w:val="16"/>
          <w:szCs w:val="20"/>
        </w:rPr>
        <w:t>[5]</w:t>
      </w:r>
      <w:r>
        <w:rPr>
          <w:rFonts w:eastAsia="Malgun Gothic"/>
          <w:color w:val="000000"/>
          <w:sz w:val="16"/>
          <w:szCs w:val="20"/>
          <w:lang w:eastAsia="ko-KR"/>
        </w:rPr>
        <w:tab/>
        <w:t>Plank CJ, Posinski EJ. US Patent, 4 081 490, 1978-02-15 (for patent references)</w:t>
      </w:r>
    </w:p>
    <w:p w:rsidR="007B7F49" w:rsidRDefault="00000000">
      <w:pPr>
        <w:pStyle w:val="ACTSreference"/>
        <w:rPr>
          <w:color w:val="FF0000"/>
          <w:sz w:val="20"/>
          <w:szCs w:val="20"/>
        </w:rPr>
      </w:pPr>
      <w:r>
        <w:rPr>
          <w:sz w:val="16"/>
          <w:szCs w:val="20"/>
        </w:rPr>
        <w:t>[6]</w:t>
      </w:r>
      <w:r>
        <w:rPr>
          <w:rFonts w:eastAsia="Malgun Gothic"/>
          <w:color w:val="000000"/>
          <w:sz w:val="16"/>
          <w:szCs w:val="20"/>
          <w:lang w:eastAsia="ko-KR"/>
        </w:rPr>
        <w:tab/>
        <w:t>Hemodynamics III: The ups and downs of hemodynamics. Version 2.2. Orlando (FL): Computerized Educational Systems. 1993 (for software references)</w:t>
      </w:r>
    </w:p>
    <w:sectPr w:rsidR="007B7F49">
      <w:type w:val="continuous"/>
      <w:pgSz w:w="12240" w:h="15840"/>
      <w:pgMar w:top="1440" w:right="1138" w:bottom="1138" w:left="1138" w:header="72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0EA0" w:rsidRDefault="00530EA0">
      <w:r>
        <w:separator/>
      </w:r>
    </w:p>
  </w:endnote>
  <w:endnote w:type="continuationSeparator" w:id="0">
    <w:p w:rsidR="00530EA0" w:rsidRDefault="0053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603F01FF" w:csb1="FFFF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MS Gothic"/>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7F49" w:rsidRDefault="00000000">
    <w:pPr>
      <w:pStyle w:val="a3"/>
      <w:jc w:val="center"/>
    </w:pPr>
    <w:r>
      <w:fldChar w:fldCharType="begin"/>
    </w:r>
    <w:r>
      <w:instrText xml:space="preserve"> PAGE   \* MERGEFORMAT </w:instrText>
    </w:r>
    <w:r>
      <w:fldChar w:fldCharType="separate"/>
    </w:r>
    <w:r>
      <w:t>1</w:t>
    </w:r>
    <w:r>
      <w:fldChar w:fldCharType="end"/>
    </w:r>
  </w:p>
  <w:p w:rsidR="007B7F49" w:rsidRDefault="007B7F49">
    <w:pPr>
      <w:pStyle w:val="a3"/>
    </w:pPr>
  </w:p>
  <w:p w:rsidR="007B7F49" w:rsidRDefault="007B7F49"/>
  <w:p w:rsidR="007B7F49" w:rsidRDefault="007B7F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0EA0" w:rsidRDefault="00530EA0">
      <w:r>
        <w:separator/>
      </w:r>
    </w:p>
  </w:footnote>
  <w:footnote w:type="continuationSeparator" w:id="0">
    <w:p w:rsidR="00530EA0" w:rsidRDefault="0053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7F49" w:rsidRDefault="00000000">
    <w:pPr>
      <w:spacing w:line="360" w:lineRule="auto"/>
      <w:jc w:val="right"/>
      <w:rPr>
        <w:rStyle w:val="skip"/>
        <w:rFonts w:cstheme="minorHAnsi"/>
        <w:b/>
        <w:bCs/>
        <w:i/>
        <w:iCs/>
        <w:sz w:val="16"/>
        <w:szCs w:val="16"/>
        <w:shd w:val="clear" w:color="auto" w:fill="FFFFFF"/>
      </w:rPr>
    </w:pPr>
    <w:r>
      <w:rPr>
        <w:rStyle w:val="skip"/>
        <w:rFonts w:cstheme="minorHAnsi"/>
        <w:b/>
        <w:bCs/>
        <w:i/>
        <w:iCs/>
        <w:sz w:val="16"/>
        <w:szCs w:val="16"/>
        <w:shd w:val="clear" w:color="auto" w:fill="FFFFFF"/>
      </w:rPr>
      <w:t xml:space="preserve">The </w:t>
    </w:r>
    <w:r>
      <w:rPr>
        <w:rStyle w:val="skip"/>
        <w:rFonts w:eastAsia="宋体" w:cstheme="minorHAnsi" w:hint="eastAsia"/>
        <w:b/>
        <w:bCs/>
        <w:i/>
        <w:iCs/>
        <w:sz w:val="16"/>
        <w:szCs w:val="16"/>
        <w:shd w:val="clear" w:color="auto" w:fill="FFFFFF"/>
        <w:lang w:eastAsia="zh-CN"/>
      </w:rPr>
      <w:t>2</w:t>
    </w:r>
    <w:r>
      <w:rPr>
        <w:rStyle w:val="skip"/>
        <w:rFonts w:eastAsia="宋体" w:cstheme="minorHAnsi" w:hint="eastAsia"/>
        <w:b/>
        <w:bCs/>
        <w:i/>
        <w:iCs/>
        <w:sz w:val="16"/>
        <w:szCs w:val="16"/>
        <w:shd w:val="clear" w:color="auto" w:fill="FFFFFF"/>
        <w:vertAlign w:val="superscript"/>
        <w:lang w:eastAsia="zh-CN"/>
      </w:rPr>
      <w:t>nd</w:t>
    </w:r>
    <w:r>
      <w:rPr>
        <w:rStyle w:val="skip"/>
        <w:rFonts w:cstheme="minorHAnsi"/>
        <w:b/>
        <w:bCs/>
        <w:i/>
        <w:iCs/>
        <w:sz w:val="16"/>
        <w:szCs w:val="16"/>
        <w:shd w:val="clear" w:color="auto" w:fill="FFFFFF"/>
      </w:rPr>
      <w:t xml:space="preserve"> International Conference on Carbon Neutrality (ICCN-202</w:t>
    </w:r>
    <w:r>
      <w:rPr>
        <w:rStyle w:val="skip"/>
        <w:rFonts w:eastAsia="宋体" w:cstheme="minorHAnsi" w:hint="eastAsia"/>
        <w:b/>
        <w:bCs/>
        <w:i/>
        <w:iCs/>
        <w:sz w:val="16"/>
        <w:szCs w:val="16"/>
        <w:shd w:val="clear" w:color="auto" w:fill="FFFFFF"/>
        <w:lang w:eastAsia="zh-CN"/>
      </w:rPr>
      <w:t>5</w:t>
    </w:r>
    <w:r>
      <w:rPr>
        <w:rStyle w:val="skip"/>
        <w:rFonts w:cstheme="minorHAnsi"/>
        <w:b/>
        <w:bCs/>
        <w:i/>
        <w:iCs/>
        <w:sz w:val="16"/>
        <w:szCs w:val="16"/>
        <w:shd w:val="clear" w:color="auto" w:fill="FFFFFF"/>
      </w:rPr>
      <w:t>)</w:t>
    </w:r>
  </w:p>
  <w:p w:rsidR="007B7F49" w:rsidRDefault="00000000">
    <w:pPr>
      <w:wordWrap w:val="0"/>
      <w:jc w:val="right"/>
      <w:rPr>
        <w:rStyle w:val="skip"/>
      </w:rPr>
    </w:pPr>
    <w:r>
      <w:rPr>
        <w:rStyle w:val="skip"/>
        <w:rFonts w:eastAsia="宋体" w:cstheme="minorHAnsi" w:hint="eastAsia"/>
        <w:b/>
        <w:bCs/>
        <w:i/>
        <w:iCs/>
        <w:sz w:val="16"/>
        <w:szCs w:val="16"/>
        <w:shd w:val="clear" w:color="auto" w:fill="FFFFFF"/>
        <w:lang w:eastAsia="zh-CN"/>
      </w:rPr>
      <w:t>September</w:t>
    </w:r>
    <w:r>
      <w:rPr>
        <w:rStyle w:val="skip"/>
        <w:rFonts w:cstheme="minorHAnsi"/>
        <w:b/>
        <w:bCs/>
        <w:i/>
        <w:iCs/>
        <w:sz w:val="16"/>
        <w:szCs w:val="16"/>
        <w:shd w:val="clear" w:color="auto" w:fill="FFFFFF"/>
      </w:rPr>
      <w:t xml:space="preserve"> </w:t>
    </w:r>
    <w:r>
      <w:rPr>
        <w:rStyle w:val="skip"/>
        <w:rFonts w:eastAsia="宋体" w:cstheme="minorHAnsi" w:hint="eastAsia"/>
        <w:b/>
        <w:bCs/>
        <w:i/>
        <w:iCs/>
        <w:sz w:val="16"/>
        <w:szCs w:val="16"/>
        <w:shd w:val="clear" w:color="auto" w:fill="FFFFFF"/>
        <w:lang w:eastAsia="zh-CN"/>
      </w:rPr>
      <w:t>5</w:t>
    </w:r>
    <w:r>
      <w:rPr>
        <w:rStyle w:val="skip"/>
        <w:rFonts w:cstheme="minorHAnsi"/>
        <w:b/>
        <w:bCs/>
        <w:i/>
        <w:iCs/>
        <w:sz w:val="16"/>
        <w:szCs w:val="16"/>
        <w:shd w:val="clear" w:color="auto" w:fill="FFFFFF"/>
      </w:rPr>
      <w:t>-</w:t>
    </w:r>
    <w:r>
      <w:rPr>
        <w:rStyle w:val="skip"/>
        <w:rFonts w:eastAsia="宋体" w:cstheme="minorHAnsi" w:hint="eastAsia"/>
        <w:b/>
        <w:bCs/>
        <w:i/>
        <w:iCs/>
        <w:sz w:val="16"/>
        <w:szCs w:val="16"/>
        <w:shd w:val="clear" w:color="auto" w:fill="FFFFFF"/>
        <w:lang w:eastAsia="zh-CN"/>
      </w:rPr>
      <w:t>7</w:t>
    </w:r>
    <w:r>
      <w:rPr>
        <w:rStyle w:val="skip"/>
        <w:rFonts w:cstheme="minorHAnsi" w:hint="eastAsia"/>
        <w:b/>
        <w:bCs/>
        <w:i/>
        <w:iCs/>
        <w:sz w:val="16"/>
        <w:szCs w:val="16"/>
        <w:shd w:val="clear" w:color="auto" w:fill="FFFFFF"/>
      </w:rPr>
      <w:t>,</w:t>
    </w:r>
    <w:r>
      <w:rPr>
        <w:rStyle w:val="skip"/>
        <w:rFonts w:cstheme="minorHAnsi"/>
        <w:b/>
        <w:bCs/>
        <w:i/>
        <w:iCs/>
        <w:sz w:val="16"/>
        <w:szCs w:val="16"/>
        <w:shd w:val="clear" w:color="auto" w:fill="FFFFFF"/>
      </w:rPr>
      <w:t xml:space="preserve"> 202</w:t>
    </w:r>
    <w:r>
      <w:rPr>
        <w:rStyle w:val="skip"/>
        <w:rFonts w:eastAsia="宋体" w:cstheme="minorHAnsi" w:hint="eastAsia"/>
        <w:b/>
        <w:bCs/>
        <w:i/>
        <w:iCs/>
        <w:sz w:val="16"/>
        <w:szCs w:val="16"/>
        <w:shd w:val="clear" w:color="auto" w:fill="FFFFFF"/>
        <w:lang w:eastAsia="zh-C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bullet"/>
      <w:lvlText w:val=""/>
      <w:lvlJc w:val="left"/>
      <w:pPr>
        <w:tabs>
          <w:tab w:val="left" w:pos="432"/>
        </w:tabs>
        <w:ind w:left="432" w:hanging="144"/>
      </w:pPr>
      <w:rPr>
        <w:rFonts w:ascii="Symbol" w:hAnsi="Symbol" w:cs="Times New Roman"/>
        <w:sz w:val="20"/>
        <w:szCs w:val="16"/>
      </w:rPr>
    </w:lvl>
    <w:lvl w:ilvl="1">
      <w:start w:val="1"/>
      <w:numFmt w:val="bullet"/>
      <w:lvlText w:val=""/>
      <w:lvlJc w:val="left"/>
      <w:pPr>
        <w:tabs>
          <w:tab w:val="left" w:pos="288"/>
        </w:tabs>
        <w:ind w:left="288" w:hanging="288"/>
      </w:pPr>
      <w:rPr>
        <w:rFonts w:ascii="Symbol" w:hAnsi="Symbol"/>
        <w:sz w:val="16"/>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7"/>
    <w:multiLevelType w:val="multilevel"/>
    <w:tmpl w:val="00000007"/>
    <w:lvl w:ilvl="0">
      <w:start w:val="1"/>
      <w:numFmt w:val="upperLetter"/>
      <w:pStyle w:val="IEEEHeading2"/>
      <w:lvlText w:val="%1."/>
      <w:lvlJc w:val="left"/>
      <w:pPr>
        <w:tabs>
          <w:tab w:val="left"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430C6917"/>
    <w:multiLevelType w:val="multilevel"/>
    <w:tmpl w:val="430C6917"/>
    <w:lvl w:ilvl="0">
      <w:start w:val="1"/>
      <w:numFmt w:val="decimal"/>
      <w:lvlText w:val="%1）"/>
      <w:lvlJc w:val="left"/>
      <w:pPr>
        <w:tabs>
          <w:tab w:val="left" w:pos="360"/>
        </w:tabs>
        <w:ind w:left="360" w:hanging="360"/>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04222A"/>
    <w:multiLevelType w:val="multilevel"/>
    <w:tmpl w:val="5204222A"/>
    <w:lvl w:ilvl="0">
      <w:start w:val="1"/>
      <w:numFmt w:val="decimal"/>
      <w:lvlText w:val="%1）"/>
      <w:lvlJc w:val="left"/>
      <w:pPr>
        <w:tabs>
          <w:tab w:val="left" w:pos="360"/>
        </w:tabs>
        <w:ind w:left="360" w:hanging="360"/>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FD46605"/>
    <w:multiLevelType w:val="multilevel"/>
    <w:tmpl w:val="6FD46605"/>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55292395">
    <w:abstractNumId w:val="1"/>
  </w:num>
  <w:num w:numId="2" w16cid:durableId="1322003216">
    <w:abstractNumId w:val="4"/>
  </w:num>
  <w:num w:numId="3" w16cid:durableId="467403069">
    <w:abstractNumId w:val="0"/>
  </w:num>
  <w:num w:numId="4" w16cid:durableId="464741675">
    <w:abstractNumId w:val="2"/>
  </w:num>
  <w:num w:numId="5" w16cid:durableId="1013072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6F"/>
    <w:rsid w:val="00017FB5"/>
    <w:rsid w:val="000659A8"/>
    <w:rsid w:val="000744A8"/>
    <w:rsid w:val="00077B5F"/>
    <w:rsid w:val="000A60B7"/>
    <w:rsid w:val="000C7294"/>
    <w:rsid w:val="000C7797"/>
    <w:rsid w:val="000F0601"/>
    <w:rsid w:val="001141BC"/>
    <w:rsid w:val="001544A8"/>
    <w:rsid w:val="00185715"/>
    <w:rsid w:val="00185F06"/>
    <w:rsid w:val="001C2028"/>
    <w:rsid w:val="001C2D32"/>
    <w:rsid w:val="001C2EAB"/>
    <w:rsid w:val="0020306F"/>
    <w:rsid w:val="002553CF"/>
    <w:rsid w:val="002753EC"/>
    <w:rsid w:val="00292A2C"/>
    <w:rsid w:val="00293A0E"/>
    <w:rsid w:val="002D6DE5"/>
    <w:rsid w:val="00303E76"/>
    <w:rsid w:val="00315FB5"/>
    <w:rsid w:val="00355CCB"/>
    <w:rsid w:val="00374093"/>
    <w:rsid w:val="00376C33"/>
    <w:rsid w:val="00390513"/>
    <w:rsid w:val="003C636B"/>
    <w:rsid w:val="003D27B2"/>
    <w:rsid w:val="003F35FE"/>
    <w:rsid w:val="003F3F5F"/>
    <w:rsid w:val="00436D1D"/>
    <w:rsid w:val="00470EEA"/>
    <w:rsid w:val="00476450"/>
    <w:rsid w:val="004865DF"/>
    <w:rsid w:val="004A5B6F"/>
    <w:rsid w:val="004D0391"/>
    <w:rsid w:val="00510229"/>
    <w:rsid w:val="00530EA0"/>
    <w:rsid w:val="0054461B"/>
    <w:rsid w:val="00551CF9"/>
    <w:rsid w:val="00582953"/>
    <w:rsid w:val="00590C2C"/>
    <w:rsid w:val="005B31F0"/>
    <w:rsid w:val="005F2F9C"/>
    <w:rsid w:val="0060682E"/>
    <w:rsid w:val="00612408"/>
    <w:rsid w:val="0063231B"/>
    <w:rsid w:val="0063579F"/>
    <w:rsid w:val="00644358"/>
    <w:rsid w:val="006718A9"/>
    <w:rsid w:val="006841C7"/>
    <w:rsid w:val="006A16FC"/>
    <w:rsid w:val="006A5DB1"/>
    <w:rsid w:val="006B228C"/>
    <w:rsid w:val="006D536B"/>
    <w:rsid w:val="00704640"/>
    <w:rsid w:val="00733931"/>
    <w:rsid w:val="0076250B"/>
    <w:rsid w:val="00780AFA"/>
    <w:rsid w:val="007862C7"/>
    <w:rsid w:val="00786841"/>
    <w:rsid w:val="007871E8"/>
    <w:rsid w:val="00790037"/>
    <w:rsid w:val="007A259C"/>
    <w:rsid w:val="007A5AAF"/>
    <w:rsid w:val="007B2C37"/>
    <w:rsid w:val="007B7F49"/>
    <w:rsid w:val="00843C32"/>
    <w:rsid w:val="008738EC"/>
    <w:rsid w:val="008A27DA"/>
    <w:rsid w:val="008A3E5F"/>
    <w:rsid w:val="008B2EFC"/>
    <w:rsid w:val="008B6C7F"/>
    <w:rsid w:val="008D7584"/>
    <w:rsid w:val="009214F1"/>
    <w:rsid w:val="00953DF2"/>
    <w:rsid w:val="009C71EC"/>
    <w:rsid w:val="009D1F16"/>
    <w:rsid w:val="00A22E9A"/>
    <w:rsid w:val="00A6259B"/>
    <w:rsid w:val="00A70087"/>
    <w:rsid w:val="00A701AB"/>
    <w:rsid w:val="00A8554A"/>
    <w:rsid w:val="00AA4011"/>
    <w:rsid w:val="00AB74B0"/>
    <w:rsid w:val="00AD2DE4"/>
    <w:rsid w:val="00AF5DD5"/>
    <w:rsid w:val="00B02E9F"/>
    <w:rsid w:val="00B20603"/>
    <w:rsid w:val="00B25B12"/>
    <w:rsid w:val="00B5188A"/>
    <w:rsid w:val="00B9103B"/>
    <w:rsid w:val="00BB5ECE"/>
    <w:rsid w:val="00BC23F7"/>
    <w:rsid w:val="00BD6B9E"/>
    <w:rsid w:val="00C44C58"/>
    <w:rsid w:val="00C7603A"/>
    <w:rsid w:val="00C90E2B"/>
    <w:rsid w:val="00CA69E4"/>
    <w:rsid w:val="00CB12B9"/>
    <w:rsid w:val="00CD049B"/>
    <w:rsid w:val="00CE1DAA"/>
    <w:rsid w:val="00CF75A0"/>
    <w:rsid w:val="00D00BC8"/>
    <w:rsid w:val="00D16273"/>
    <w:rsid w:val="00D2290E"/>
    <w:rsid w:val="00D35617"/>
    <w:rsid w:val="00D55455"/>
    <w:rsid w:val="00D5696D"/>
    <w:rsid w:val="00DC2486"/>
    <w:rsid w:val="00E04DC1"/>
    <w:rsid w:val="00E07FC4"/>
    <w:rsid w:val="00E10303"/>
    <w:rsid w:val="00E160B6"/>
    <w:rsid w:val="00E20D42"/>
    <w:rsid w:val="00E37DF8"/>
    <w:rsid w:val="00E61253"/>
    <w:rsid w:val="00E65836"/>
    <w:rsid w:val="00E70655"/>
    <w:rsid w:val="00E94D95"/>
    <w:rsid w:val="00EB2B6D"/>
    <w:rsid w:val="00F027EB"/>
    <w:rsid w:val="00F06C48"/>
    <w:rsid w:val="00F1434B"/>
    <w:rsid w:val="00F210AC"/>
    <w:rsid w:val="00F30FBB"/>
    <w:rsid w:val="00F37EBA"/>
    <w:rsid w:val="00F566B3"/>
    <w:rsid w:val="00F62645"/>
    <w:rsid w:val="00F76343"/>
    <w:rsid w:val="00F8460E"/>
    <w:rsid w:val="00F97267"/>
    <w:rsid w:val="00FB171C"/>
    <w:rsid w:val="00FB4D56"/>
    <w:rsid w:val="00FC5AC1"/>
    <w:rsid w:val="00FF0A6F"/>
    <w:rsid w:val="00FF32AD"/>
    <w:rsid w:val="1E613E72"/>
    <w:rsid w:val="63BD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8171"/>
  <w15:docId w15:val="{2F010C77-B804-4547-AC57-224C5D1E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9"/>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tabs>
        <w:tab w:val="center" w:pos="4507"/>
        <w:tab w:val="right" w:pos="9720"/>
      </w:tabs>
      <w:jc w:val="both"/>
      <w:textAlignment w:val="center"/>
    </w:pPr>
    <w:rPr>
      <w:rFonts w:ascii="Times New Roman" w:eastAsia="MS Mincho" w:hAnsi="Times New Roman"/>
      <w:spacing w:val="-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80"/>
        <w:tab w:val="right" w:pos="9360"/>
      </w:tabs>
    </w:pPr>
  </w:style>
  <w:style w:type="paragraph" w:styleId="a5">
    <w:name w:val="header"/>
    <w:basedOn w:val="a"/>
    <w:link w:val="a6"/>
    <w:uiPriority w:val="99"/>
    <w:unhideWhenUsed/>
    <w:pPr>
      <w:jc w:val="right"/>
    </w:pPr>
    <w:rPr>
      <w:rFonts w:ascii="Calibri" w:hAnsi="Calibri"/>
      <w:b/>
    </w:rPr>
  </w:style>
  <w:style w:type="paragraph" w:styleId="a7">
    <w:name w:val="Normal (Web)"/>
    <w:basedOn w:val="a"/>
    <w:uiPriority w:val="99"/>
    <w:semiHidden/>
    <w:unhideWhenUsed/>
    <w:pPr>
      <w:tabs>
        <w:tab w:val="clear" w:pos="4507"/>
        <w:tab w:val="clear" w:pos="9720"/>
      </w:tabs>
      <w:spacing w:before="100" w:beforeAutospacing="1" w:after="100" w:afterAutospacing="1"/>
      <w:jc w:val="left"/>
      <w:textAlignment w:val="auto"/>
    </w:pPr>
    <w:rPr>
      <w:rFonts w:eastAsia="Times New Roman"/>
      <w:spacing w:val="0"/>
      <w:sz w:val="24"/>
      <w:szCs w:val="24"/>
      <w:lang w:eastAsia="ko-KR"/>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Pr>
      <w:color w:val="0000FF"/>
      <w:u w:val="single"/>
    </w:rPr>
  </w:style>
  <w:style w:type="character" w:customStyle="1" w:styleId="ACTSauthorsuperscript">
    <w:name w:val="ACTS author superscript"/>
    <w:uiPriority w:val="1"/>
    <w:qFormat/>
    <w:rPr>
      <w:vertAlign w:val="superscript"/>
    </w:rPr>
  </w:style>
  <w:style w:type="character" w:customStyle="1" w:styleId="ACTSauthorChar">
    <w:name w:val="ACTS author Char"/>
    <w:link w:val="ACTSauthor"/>
    <w:qFormat/>
    <w:rPr>
      <w:rFonts w:ascii="Times New Roman" w:eastAsia="MS Mincho" w:hAnsi="Times New Roman" w:cs="Times New Roman"/>
      <w:b/>
      <w:lang w:eastAsia="en-US"/>
    </w:rPr>
  </w:style>
  <w:style w:type="paragraph" w:customStyle="1" w:styleId="ACTSauthor">
    <w:name w:val="ACTS author"/>
    <w:basedOn w:val="a"/>
    <w:link w:val="ACTSauthorChar"/>
    <w:qFormat/>
    <w:pPr>
      <w:spacing w:after="240"/>
      <w:jc w:val="center"/>
    </w:pPr>
    <w:rPr>
      <w:b/>
    </w:rPr>
  </w:style>
  <w:style w:type="character" w:customStyle="1" w:styleId="a6">
    <w:name w:val="页眉 字符"/>
    <w:link w:val="a5"/>
    <w:uiPriority w:val="99"/>
    <w:qFormat/>
    <w:rPr>
      <w:rFonts w:eastAsia="MS Mincho" w:cs="Times New Roman"/>
      <w:b/>
      <w:spacing w:val="-3"/>
      <w:lang w:eastAsia="en-US"/>
    </w:rPr>
  </w:style>
  <w:style w:type="paragraph" w:customStyle="1" w:styleId="ACTSbodytext">
    <w:name w:val="ACTS body text"/>
    <w:basedOn w:val="a"/>
    <w:link w:val="ACTSbodytextChar"/>
    <w:qFormat/>
    <w:pPr>
      <w:tabs>
        <w:tab w:val="clear" w:pos="4507"/>
        <w:tab w:val="clear" w:pos="9720"/>
      </w:tabs>
    </w:pPr>
  </w:style>
  <w:style w:type="paragraph" w:customStyle="1" w:styleId="ACTSaffilliation">
    <w:name w:val="ACTS affilliation"/>
    <w:basedOn w:val="a"/>
    <w:next w:val="ACTSauthor"/>
    <w:qFormat/>
    <w:pPr>
      <w:widowControl w:val="0"/>
      <w:autoSpaceDE w:val="0"/>
      <w:autoSpaceDN w:val="0"/>
      <w:adjustRightInd w:val="0"/>
      <w:jc w:val="center"/>
    </w:pPr>
  </w:style>
  <w:style w:type="paragraph" w:customStyle="1" w:styleId="ACTSabstractheading">
    <w:name w:val="ACTS abstract heading"/>
    <w:qFormat/>
    <w:pPr>
      <w:jc w:val="center"/>
    </w:pPr>
    <w:rPr>
      <w:rFonts w:ascii="Times New Roman" w:eastAsia="MS Mincho" w:hAnsi="Times New Roman"/>
      <w:b/>
      <w:caps/>
      <w:sz w:val="28"/>
      <w:szCs w:val="28"/>
      <w:lang w:eastAsia="en-US"/>
    </w:rPr>
  </w:style>
  <w:style w:type="paragraph" w:customStyle="1" w:styleId="ACTStitle">
    <w:name w:val="ACTS title"/>
    <w:basedOn w:val="a"/>
    <w:qFormat/>
    <w:pPr>
      <w:spacing w:after="240"/>
      <w:jc w:val="center"/>
    </w:pPr>
    <w:rPr>
      <w:b/>
      <w:caps/>
      <w:sz w:val="28"/>
    </w:rPr>
  </w:style>
  <w:style w:type="character" w:customStyle="1" w:styleId="a4">
    <w:name w:val="页脚 字符"/>
    <w:basedOn w:val="a0"/>
    <w:link w:val="a3"/>
    <w:uiPriority w:val="99"/>
    <w:qFormat/>
  </w:style>
  <w:style w:type="paragraph" w:customStyle="1" w:styleId="ACTSabstractnumber">
    <w:name w:val="ACTS abstract number"/>
    <w:basedOn w:val="a"/>
    <w:qFormat/>
    <w:pPr>
      <w:spacing w:after="240"/>
      <w:jc w:val="right"/>
    </w:pPr>
    <w:rPr>
      <w:rFonts w:ascii="Arial" w:eastAsia="Malgun Gothic" w:hAnsi="Arial" w:cs="Arial"/>
      <w:b/>
      <w:bCs/>
      <w:sz w:val="26"/>
      <w:szCs w:val="26"/>
    </w:rPr>
  </w:style>
  <w:style w:type="paragraph" w:customStyle="1" w:styleId="ACTSheading1">
    <w:name w:val="ACTS heading 1"/>
    <w:basedOn w:val="a"/>
    <w:link w:val="ACTSheading1Char"/>
    <w:pPr>
      <w:adjustRightInd w:val="0"/>
      <w:snapToGrid w:val="0"/>
      <w:spacing w:before="320" w:after="200"/>
      <w:jc w:val="center"/>
    </w:pPr>
    <w:rPr>
      <w:b/>
      <w:caps/>
      <w:sz w:val="24"/>
      <w:szCs w:val="24"/>
    </w:rPr>
  </w:style>
  <w:style w:type="character" w:customStyle="1" w:styleId="ACTSheading1Char">
    <w:name w:val="ACTS heading 1 Char"/>
    <w:link w:val="ACTSheading1"/>
    <w:rPr>
      <w:rFonts w:ascii="Times New Roman" w:eastAsia="MS Mincho" w:hAnsi="Times New Roman" w:cs="Times New Roman"/>
      <w:b/>
      <w:caps/>
      <w:spacing w:val="-3"/>
      <w:sz w:val="24"/>
      <w:szCs w:val="24"/>
      <w:lang w:eastAsia="en-US"/>
    </w:rPr>
  </w:style>
  <w:style w:type="paragraph" w:customStyle="1" w:styleId="ACTSheading2">
    <w:name w:val="ACTS heading 2"/>
    <w:basedOn w:val="ACTSheading1"/>
    <w:pPr>
      <w:spacing w:before="240" w:after="120"/>
      <w:jc w:val="left"/>
    </w:pPr>
    <w:rPr>
      <w:szCs w:val="22"/>
    </w:rPr>
  </w:style>
  <w:style w:type="character" w:customStyle="1" w:styleId="ACTSheading3">
    <w:name w:val="ACTS heading 3"/>
    <w:uiPriority w:val="1"/>
    <w:rPr>
      <w:rFonts w:ascii="Times New Roman" w:eastAsia="MS Mincho" w:hAnsi="Times New Roman" w:cs="Times New Roman"/>
      <w:b/>
      <w:i/>
      <w:spacing w:val="-3"/>
      <w:u w:val="single"/>
      <w:lang w:eastAsia="en-US"/>
    </w:rPr>
  </w:style>
  <w:style w:type="character" w:customStyle="1" w:styleId="ACTSbodytextChar">
    <w:name w:val="ACTS body text Char"/>
    <w:link w:val="ACTSbodytext"/>
    <w:rPr>
      <w:rFonts w:ascii="Times New Roman" w:eastAsia="MS Mincho" w:hAnsi="Times New Roman" w:cs="Times New Roman"/>
      <w:spacing w:val="-3"/>
      <w:lang w:eastAsia="en-US"/>
    </w:rPr>
  </w:style>
  <w:style w:type="paragraph" w:customStyle="1" w:styleId="ACTStablefigcaption">
    <w:name w:val="ACTS table fig caption"/>
    <w:basedOn w:val="a"/>
    <w:pPr>
      <w:tabs>
        <w:tab w:val="left" w:pos="-720"/>
      </w:tabs>
      <w:suppressAutoHyphens/>
    </w:pPr>
  </w:style>
  <w:style w:type="character" w:customStyle="1" w:styleId="skip">
    <w:name w:val="skip"/>
    <w:basedOn w:val="a0"/>
  </w:style>
  <w:style w:type="paragraph" w:customStyle="1" w:styleId="ACTSequation">
    <w:name w:val="ACTS equation"/>
    <w:basedOn w:val="ACTSbodytext"/>
    <w:pPr>
      <w:tabs>
        <w:tab w:val="center" w:pos="5371"/>
        <w:tab w:val="right" w:pos="9720"/>
      </w:tabs>
    </w:pPr>
  </w:style>
  <w:style w:type="paragraph" w:customStyle="1" w:styleId="ACTSreference">
    <w:name w:val="ACTS reference"/>
    <w:basedOn w:val="a"/>
    <w:link w:val="ACTSreferenceChar"/>
    <w:pPr>
      <w:widowControl w:val="0"/>
      <w:autoSpaceDE w:val="0"/>
      <w:autoSpaceDN w:val="0"/>
      <w:adjustRightInd w:val="0"/>
      <w:ind w:left="360" w:hanging="360"/>
    </w:pPr>
    <w:rPr>
      <w:sz w:val="18"/>
    </w:rPr>
  </w:style>
  <w:style w:type="character" w:customStyle="1" w:styleId="ACTSreferenceChar">
    <w:name w:val="ACTS reference Char"/>
    <w:link w:val="ACTSreference"/>
    <w:rPr>
      <w:rFonts w:ascii="Times New Roman" w:eastAsia="MS Mincho" w:hAnsi="Times New Roman" w:cs="Times New Roman"/>
      <w:spacing w:val="-3"/>
      <w:sz w:val="18"/>
      <w:lang w:eastAsia="en-US"/>
    </w:rPr>
  </w:style>
  <w:style w:type="character" w:customStyle="1" w:styleId="1">
    <w:name w:val="未处理的提及1"/>
    <w:basedOn w:val="a0"/>
    <w:uiPriority w:val="99"/>
    <w:semiHidden/>
    <w:unhideWhenUsed/>
    <w:rPr>
      <w:color w:val="605E5C"/>
      <w:shd w:val="clear" w:color="auto" w:fill="E1DFDD"/>
    </w:rPr>
  </w:style>
  <w:style w:type="paragraph" w:customStyle="1" w:styleId="IEEEHeading2">
    <w:name w:val="IEEE Heading 2"/>
    <w:basedOn w:val="a"/>
    <w:next w:val="a"/>
    <w:pPr>
      <w:numPr>
        <w:numId w:val="1"/>
      </w:numPr>
      <w:tabs>
        <w:tab w:val="clear" w:pos="4507"/>
        <w:tab w:val="clear" w:pos="9720"/>
      </w:tabs>
      <w:suppressAutoHyphens/>
      <w:snapToGrid w:val="0"/>
      <w:spacing w:before="150" w:after="60"/>
      <w:jc w:val="left"/>
      <w:textAlignment w:val="auto"/>
    </w:pPr>
    <w:rPr>
      <w:rFonts w:eastAsia="宋体"/>
      <w:i/>
      <w:spacing w:val="0"/>
      <w:sz w:val="20"/>
      <w:szCs w:val="24"/>
      <w:lang w:val="en-AU" w:eastAsia="ar-SA"/>
    </w:rPr>
  </w:style>
  <w:style w:type="paragraph" w:customStyle="1" w:styleId="IEEEParagraph">
    <w:name w:val="IEEE Paragraph"/>
    <w:basedOn w:val="a"/>
    <w:qFormat/>
    <w:pPr>
      <w:tabs>
        <w:tab w:val="clear" w:pos="4507"/>
        <w:tab w:val="clear" w:pos="9720"/>
      </w:tabs>
      <w:suppressAutoHyphens/>
      <w:snapToGrid w:val="0"/>
      <w:ind w:firstLine="216"/>
      <w:textAlignment w:val="auto"/>
    </w:pPr>
    <w:rPr>
      <w:rFonts w:eastAsia="宋体"/>
      <w:spacing w:val="0"/>
      <w:sz w:val="20"/>
      <w:szCs w:val="24"/>
      <w:lang w:val="en-AU" w:eastAsia="ar-SA"/>
    </w:rPr>
  </w:style>
  <w:style w:type="paragraph" w:customStyle="1" w:styleId="IEEEFigure">
    <w:name w:val="IEEE Figure"/>
    <w:basedOn w:val="a"/>
    <w:next w:val="a"/>
    <w:pPr>
      <w:tabs>
        <w:tab w:val="clear" w:pos="4507"/>
        <w:tab w:val="clear" w:pos="9720"/>
      </w:tabs>
      <w:suppressAutoHyphens/>
      <w:jc w:val="center"/>
      <w:textAlignment w:val="auto"/>
    </w:pPr>
    <w:rPr>
      <w:rFonts w:eastAsia="宋体"/>
      <w:spacing w:val="0"/>
      <w:sz w:val="24"/>
      <w:szCs w:val="24"/>
      <w:lang w:val="en-AU" w:eastAsia="ar-SA"/>
    </w:rPr>
  </w:style>
  <w:style w:type="paragraph" w:customStyle="1" w:styleId="IEEEFigureCaptionMulti-Lines">
    <w:name w:val="IEEE Figure Caption Multi-Lines"/>
    <w:basedOn w:val="a"/>
    <w:next w:val="a"/>
    <w:pPr>
      <w:tabs>
        <w:tab w:val="clear" w:pos="4507"/>
        <w:tab w:val="clear" w:pos="9720"/>
      </w:tabs>
      <w:suppressAutoHyphens/>
      <w:spacing w:before="120" w:after="120"/>
      <w:textAlignment w:val="auto"/>
    </w:pPr>
    <w:rPr>
      <w:rFonts w:eastAsia="宋体"/>
      <w:spacing w:val="0"/>
      <w:sz w:val="16"/>
      <w:szCs w:val="24"/>
      <w:lang w:val="en-AU" w:eastAsia="ar-SA"/>
    </w:rPr>
  </w:style>
  <w:style w:type="paragraph" w:customStyle="1" w:styleId="IEEETableCell">
    <w:name w:val="IEEE Table Cell"/>
    <w:basedOn w:val="a"/>
    <w:qFormat/>
    <w:pPr>
      <w:tabs>
        <w:tab w:val="clear" w:pos="4507"/>
        <w:tab w:val="clear" w:pos="9720"/>
      </w:tabs>
      <w:suppressAutoHyphens/>
      <w:snapToGrid w:val="0"/>
      <w:jc w:val="left"/>
      <w:textAlignment w:val="auto"/>
    </w:pPr>
    <w:rPr>
      <w:rFonts w:eastAsia="宋体"/>
      <w:spacing w:val="0"/>
      <w:sz w:val="18"/>
      <w:szCs w:val="24"/>
      <w:lang w:val="en-AU" w:eastAsia="ar-SA"/>
    </w:rPr>
  </w:style>
  <w:style w:type="paragraph" w:customStyle="1" w:styleId="IEEETableHeaderCentered">
    <w:name w:val="IEEE Table Header Centered"/>
    <w:basedOn w:val="IEEETableCell"/>
    <w:qFormat/>
    <w:pPr>
      <w:jc w:val="center"/>
    </w:pPr>
    <w:rPr>
      <w:b/>
      <w:bCs/>
    </w:rPr>
  </w:style>
  <w:style w:type="paragraph" w:customStyle="1" w:styleId="IEEETableHeaderLeft-Justified">
    <w:name w:val="IEEE Table Header Left-Justified"/>
    <w:basedOn w:val="IEEETableCell"/>
    <w:rPr>
      <w:b/>
      <w:bCs/>
    </w:rPr>
  </w:style>
  <w:style w:type="paragraph" w:styleId="aa">
    <w:name w:val="List Paragraph"/>
    <w:basedOn w:val="a"/>
    <w:uiPriority w:val="34"/>
    <w:semiHidden/>
    <w:pPr>
      <w:ind w:firstLineChars="200" w:firstLine="420"/>
    </w:pPr>
  </w:style>
  <w:style w:type="character" w:styleId="ab">
    <w:name w:val="Unresolved Mention"/>
    <w:basedOn w:val="a0"/>
    <w:uiPriority w:val="99"/>
    <w:semiHidden/>
    <w:unhideWhenUsed/>
    <w:rsid w:val="00E6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irst.author@affiliation.com" TargetMode="External"/><Relationship Id="rId13" Type="http://schemas.openxmlformats.org/officeDocument/2006/relationships/hyperlink" Target="http://www.springer.com/journal/439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cn.sjtu.edu.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urth.author@affiliation.com" TargetMode="Externa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AD64-5BC0-4005-8887-FBAB3E1C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Boxiang Wang</dc:creator>
  <cp:lastModifiedBy>晓鑫 吴</cp:lastModifiedBy>
  <cp:revision>3</cp:revision>
  <dcterms:created xsi:type="dcterms:W3CDTF">2024-12-04T02:04:00Z</dcterms:created>
  <dcterms:modified xsi:type="dcterms:W3CDTF">2024-12-04T02:05:00Z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jwon91@gmail.com@www.mendeley.com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http://www.zotero.org/styles/international-journal-of-heat-and-mass-transfer</vt:lpwstr>
  </property>
  <property fmtid="{D5CDD505-2E9C-101B-9397-08002B2CF9AE}" pid="17" name="Mendeley Recent Style Name 6_1">
    <vt:lpwstr>International Journal of Heat and Mass Transfer</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http://www.zotero.org/styles/international-journal-of-heat-and-mass-transfer</vt:lpwstr>
  </property>
  <property fmtid="{D5CDD505-2E9C-101B-9397-08002B2CF9AE}" pid="25" name="KSOProductBuildVer">
    <vt:lpwstr>2052-12.1.0.18912</vt:lpwstr>
  </property>
  <property fmtid="{D5CDD505-2E9C-101B-9397-08002B2CF9AE}" pid="26" name="ICV">
    <vt:lpwstr>2B36E3486E40445BA44E8A3EC8DE21CB_12</vt:lpwstr>
  </property>
</Properties>
</file>